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Override PartName="/word/drawings/drawing8.xml" ContentType="application/vnd.openxmlformats-officedocument.drawingml.chartshapes+xml"/>
  <Override PartName="/word/drawings/drawing9.xml" ContentType="application/vnd.openxmlformats-officedocument.drawingml.chartshapes+xml"/>
  <Default Extension="jpeg" ContentType="image/jpeg"/>
  <Override PartName="/word/drawings/drawing6.xml" ContentType="application/vnd.openxmlformats-officedocument.drawingml.chartshapes+xml"/>
  <Override PartName="/word/drawings/drawing7.xml" ContentType="application/vnd.openxmlformats-officedocument.drawingml.chartshap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word/drawings/drawing5.xml" ContentType="application/vnd.openxmlformats-officedocument.drawingml.chartshap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rawings/drawing12.xml" ContentType="application/vnd.openxmlformats-officedocument.drawingml.chartshapes+xml"/>
  <Override PartName="/word/drawings/drawing13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0.xml" ContentType="application/vnd.openxmlformats-officedocument.drawingml.chartshapes+xml"/>
  <Override PartName="/word/drawings/drawing11.xml" ContentType="application/vnd.openxmlformats-officedocument.drawingml.chartshapes+xml"/>
  <Override PartName="/word/charts/chart1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DCE" w:rsidRPr="00C754C5" w:rsidRDefault="004F06CE" w:rsidP="002F2DCE">
      <w:pPr>
        <w:rPr>
          <w:rFonts w:asciiTheme="minorHAnsi" w:hAnsiTheme="minorHAnsi"/>
          <w:color w:val="333333"/>
          <w:sz w:val="28"/>
          <w:szCs w:val="28"/>
        </w:rPr>
      </w:pPr>
      <w:r w:rsidRPr="00C754C5">
        <w:rPr>
          <w:rFonts w:asciiTheme="minorHAnsi" w:hAnsiTheme="minorHAnsi"/>
          <w:b/>
          <w:bCs/>
          <w:color w:val="333333"/>
          <w:sz w:val="28"/>
          <w:szCs w:val="28"/>
        </w:rPr>
        <w:t xml:space="preserve">Общие тенденции на </w:t>
      </w:r>
      <w:r w:rsidR="00CD5723" w:rsidRPr="00C754C5">
        <w:rPr>
          <w:rFonts w:asciiTheme="minorHAnsi" w:hAnsiTheme="minorHAnsi"/>
          <w:b/>
          <w:bCs/>
          <w:color w:val="333333"/>
          <w:sz w:val="28"/>
          <w:szCs w:val="28"/>
        </w:rPr>
        <w:t xml:space="preserve">вторичном </w:t>
      </w:r>
      <w:r w:rsidRPr="00C754C5">
        <w:rPr>
          <w:rFonts w:asciiTheme="minorHAnsi" w:hAnsiTheme="minorHAnsi"/>
          <w:b/>
          <w:bCs/>
          <w:color w:val="333333"/>
          <w:sz w:val="28"/>
          <w:szCs w:val="28"/>
        </w:rPr>
        <w:t>р</w:t>
      </w:r>
      <w:r w:rsidR="00E06B77" w:rsidRPr="00C754C5">
        <w:rPr>
          <w:rFonts w:asciiTheme="minorHAnsi" w:hAnsiTheme="minorHAnsi"/>
          <w:b/>
          <w:bCs/>
          <w:color w:val="333333"/>
          <w:sz w:val="28"/>
          <w:szCs w:val="28"/>
        </w:rPr>
        <w:t>ынк</w:t>
      </w:r>
      <w:r w:rsidRPr="00C754C5">
        <w:rPr>
          <w:rFonts w:asciiTheme="minorHAnsi" w:hAnsiTheme="minorHAnsi"/>
          <w:b/>
          <w:bCs/>
          <w:color w:val="333333"/>
          <w:sz w:val="28"/>
          <w:szCs w:val="28"/>
        </w:rPr>
        <w:t>е</w:t>
      </w:r>
      <w:r w:rsidR="00CD5723" w:rsidRPr="00C754C5">
        <w:rPr>
          <w:rFonts w:asciiTheme="minorHAnsi" w:hAnsiTheme="minorHAnsi"/>
          <w:b/>
          <w:bCs/>
          <w:color w:val="333333"/>
          <w:sz w:val="28"/>
          <w:szCs w:val="28"/>
        </w:rPr>
        <w:t xml:space="preserve"> </w:t>
      </w:r>
      <w:r w:rsidR="005C6DFA" w:rsidRPr="00C754C5">
        <w:rPr>
          <w:rFonts w:asciiTheme="minorHAnsi" w:hAnsiTheme="minorHAnsi"/>
          <w:b/>
          <w:bCs/>
          <w:color w:val="333333"/>
          <w:sz w:val="28"/>
          <w:szCs w:val="28"/>
        </w:rPr>
        <w:t>Великого Новгорода</w:t>
      </w:r>
      <w:r w:rsidR="00DE4078" w:rsidRPr="00C754C5">
        <w:rPr>
          <w:rFonts w:asciiTheme="minorHAnsi" w:hAnsiTheme="minorHAnsi"/>
          <w:b/>
          <w:bCs/>
          <w:color w:val="333333"/>
          <w:sz w:val="28"/>
          <w:szCs w:val="28"/>
        </w:rPr>
        <w:t>.</w:t>
      </w:r>
      <w:r w:rsidRPr="00C754C5">
        <w:rPr>
          <w:rFonts w:asciiTheme="minorHAnsi" w:hAnsiTheme="minorHAnsi"/>
          <w:b/>
          <w:bCs/>
          <w:color w:val="333333"/>
          <w:sz w:val="28"/>
          <w:szCs w:val="28"/>
        </w:rPr>
        <w:t xml:space="preserve"> </w:t>
      </w:r>
      <w:r w:rsidR="00AE1425" w:rsidRPr="00C754C5">
        <w:rPr>
          <w:rFonts w:asciiTheme="minorHAnsi" w:hAnsiTheme="minorHAnsi"/>
          <w:b/>
          <w:bCs/>
          <w:color w:val="333333"/>
          <w:sz w:val="28"/>
          <w:szCs w:val="28"/>
        </w:rPr>
        <w:t xml:space="preserve">Сентябрь </w:t>
      </w:r>
      <w:r w:rsidR="002F2DCE" w:rsidRPr="00C754C5">
        <w:rPr>
          <w:rFonts w:asciiTheme="minorHAnsi" w:hAnsiTheme="minorHAnsi"/>
          <w:b/>
          <w:bCs/>
          <w:color w:val="333333"/>
          <w:sz w:val="28"/>
          <w:szCs w:val="28"/>
        </w:rPr>
        <w:t>201</w:t>
      </w:r>
      <w:r w:rsidR="00B63926" w:rsidRPr="00C754C5">
        <w:rPr>
          <w:rFonts w:asciiTheme="minorHAnsi" w:hAnsiTheme="minorHAnsi"/>
          <w:b/>
          <w:bCs/>
          <w:color w:val="333333"/>
          <w:sz w:val="28"/>
          <w:szCs w:val="28"/>
        </w:rPr>
        <w:t>3</w:t>
      </w:r>
      <w:r w:rsidR="002F2DCE" w:rsidRPr="00C754C5">
        <w:rPr>
          <w:rFonts w:asciiTheme="minorHAnsi" w:hAnsiTheme="minorHAnsi"/>
          <w:b/>
          <w:bCs/>
          <w:color w:val="333333"/>
          <w:sz w:val="28"/>
          <w:szCs w:val="28"/>
        </w:rPr>
        <w:t xml:space="preserve"> года.</w:t>
      </w:r>
    </w:p>
    <w:p w:rsidR="002F2DCE" w:rsidRPr="00C754C5" w:rsidRDefault="002F2DCE" w:rsidP="002F2DCE">
      <w:pPr>
        <w:rPr>
          <w:rFonts w:asciiTheme="minorHAnsi" w:hAnsiTheme="minorHAnsi"/>
        </w:rPr>
      </w:pPr>
      <w:r w:rsidRPr="00C754C5">
        <w:rPr>
          <w:rFonts w:asciiTheme="minorHAnsi" w:hAnsiTheme="minorHAnsi"/>
        </w:rPr>
        <w:t xml:space="preserve">(Мария </w:t>
      </w:r>
      <w:proofErr w:type="spellStart"/>
      <w:r w:rsidRPr="00C754C5">
        <w:rPr>
          <w:rFonts w:asciiTheme="minorHAnsi" w:hAnsiTheme="minorHAnsi"/>
        </w:rPr>
        <w:t>Бент</w:t>
      </w:r>
      <w:proofErr w:type="spellEnd"/>
      <w:r w:rsidRPr="00C754C5">
        <w:rPr>
          <w:rFonts w:asciiTheme="minorHAnsi" w:hAnsiTheme="minorHAnsi"/>
        </w:rPr>
        <w:t>, САРН, Групп</w:t>
      </w:r>
      <w:r w:rsidR="004F3B96" w:rsidRPr="00C754C5">
        <w:rPr>
          <w:rFonts w:asciiTheme="minorHAnsi" w:hAnsiTheme="minorHAnsi"/>
        </w:rPr>
        <w:t>а</w:t>
      </w:r>
      <w:r w:rsidRPr="00C754C5">
        <w:rPr>
          <w:rFonts w:asciiTheme="minorHAnsi" w:hAnsiTheme="minorHAnsi"/>
        </w:rPr>
        <w:t xml:space="preserve"> компаний "Бюллетень Недвижимости")</w:t>
      </w:r>
    </w:p>
    <w:p w:rsidR="002F2DCE" w:rsidRDefault="002F2DCE" w:rsidP="00E23604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</w:t>
      </w:r>
    </w:p>
    <w:p w:rsidR="00DB1487" w:rsidRPr="00C754C5" w:rsidRDefault="00AE1425" w:rsidP="00AE1425">
      <w:pPr>
        <w:pStyle w:val="Tabledate"/>
        <w:jc w:val="left"/>
        <w:rPr>
          <w:rFonts w:asciiTheme="minorHAnsi" w:hAnsiTheme="minorHAnsi"/>
          <w:i/>
          <w:iCs/>
          <w:sz w:val="24"/>
        </w:rPr>
        <w:sectPr w:rsidR="00DB1487" w:rsidRPr="00C754C5" w:rsidSect="0067716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bookmarkStart w:id="0" w:name="OLE_LINK5"/>
      <w:r w:rsidRPr="00C754C5">
        <w:rPr>
          <w:rFonts w:asciiTheme="minorHAnsi" w:hAnsiTheme="minorHAnsi"/>
          <w:sz w:val="28"/>
        </w:rPr>
        <w:t>За минувший месяц изменение средней цены предложения на вторичном рынке квартир в рублевом эквиваленте составило минус 0,9%, это 479 руб. с одного квадратного метра. Показатель средней цены предложения в сентябре 2013 года составил 52,2 тыс. руб. за кв. м.</w:t>
      </w:r>
    </w:p>
    <w:p w:rsidR="00DB1487" w:rsidRPr="00C754C5" w:rsidRDefault="00DB1487" w:rsidP="00DB1487">
      <w:pPr>
        <w:pStyle w:val="Tabledate"/>
        <w:jc w:val="left"/>
        <w:rPr>
          <w:rFonts w:asciiTheme="minorHAnsi" w:hAnsiTheme="minorHAnsi"/>
          <w:i/>
          <w:iCs/>
          <w:sz w:val="24"/>
        </w:rPr>
      </w:pPr>
    </w:p>
    <w:p w:rsidR="00DB1487" w:rsidRPr="00C754C5" w:rsidRDefault="00DB1487" w:rsidP="00DB1487">
      <w:pPr>
        <w:pStyle w:val="Tabledate"/>
        <w:jc w:val="left"/>
        <w:rPr>
          <w:rFonts w:asciiTheme="minorHAnsi" w:hAnsiTheme="minorHAnsi"/>
          <w:sz w:val="24"/>
        </w:rPr>
      </w:pPr>
      <w:r w:rsidRPr="00C754C5">
        <w:rPr>
          <w:rFonts w:asciiTheme="minorHAnsi" w:hAnsiTheme="minorHAnsi"/>
          <w:i/>
          <w:iCs/>
          <w:sz w:val="24"/>
        </w:rPr>
        <w:t>Цена, руб./кв. м</w:t>
      </w:r>
    </w:p>
    <w:p w:rsidR="00DB1487" w:rsidRPr="00C754C5" w:rsidRDefault="00DB1487" w:rsidP="00DB1487">
      <w:pPr>
        <w:pStyle w:val="Tabledate"/>
        <w:jc w:val="left"/>
        <w:rPr>
          <w:rFonts w:asciiTheme="minorHAnsi" w:hAnsiTheme="minorHAnsi"/>
          <w:i/>
          <w:iCs/>
          <w:sz w:val="24"/>
        </w:rPr>
      </w:pPr>
    </w:p>
    <w:p w:rsidR="00DB1487" w:rsidRPr="00C754C5" w:rsidRDefault="00DB1487" w:rsidP="00DB1487">
      <w:pPr>
        <w:pStyle w:val="Tabledate"/>
        <w:jc w:val="left"/>
        <w:rPr>
          <w:rFonts w:asciiTheme="minorHAnsi" w:hAnsiTheme="minorHAnsi"/>
          <w:sz w:val="24"/>
        </w:rPr>
      </w:pPr>
      <w:r w:rsidRPr="00C754C5">
        <w:rPr>
          <w:rFonts w:asciiTheme="minorHAnsi" w:hAnsiTheme="minorHAnsi"/>
          <w:i/>
          <w:iCs/>
          <w:sz w:val="24"/>
        </w:rPr>
        <w:t>Изменение цены, % к предыдущему месяцу</w:t>
      </w:r>
    </w:p>
    <w:p w:rsidR="00DB1487" w:rsidRPr="00C754C5" w:rsidRDefault="00DB148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  <w:sectPr w:rsidR="00DB1487" w:rsidRPr="00C754C5" w:rsidSect="00DB148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A1D47" w:rsidRPr="00C754C5" w:rsidRDefault="00AE1425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C754C5">
        <w:rPr>
          <w:rFonts w:asciiTheme="minorHAnsi" w:hAnsiTheme="minorHAnsi" w:cs="Times New Roman"/>
          <w:sz w:val="22"/>
          <w:szCs w:val="22"/>
        </w:rPr>
        <w:lastRenderedPageBreak/>
        <w:drawing>
          <wp:inline distT="0" distB="0" distL="0" distR="0">
            <wp:extent cx="3097213" cy="1800225"/>
            <wp:effectExtent l="19050" t="0" r="26987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 w:rsidRPr="00C754C5">
        <w:rPr>
          <w:rFonts w:asciiTheme="minorHAnsi" w:hAnsiTheme="minorHAnsi" w:cs="Times New Roman"/>
          <w:sz w:val="22"/>
          <w:szCs w:val="22"/>
        </w:rPr>
        <w:drawing>
          <wp:inline distT="0" distB="0" distL="0" distR="0">
            <wp:extent cx="3240087" cy="1800225"/>
            <wp:effectExtent l="19050" t="0" r="17463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A1D47" w:rsidRPr="00C754C5" w:rsidRDefault="00DA1D4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AE1425" w:rsidRPr="00C754C5" w:rsidRDefault="00AE1425" w:rsidP="00AE1425">
      <w:pPr>
        <w:pStyle w:val="Tabledate"/>
        <w:jc w:val="left"/>
        <w:rPr>
          <w:rFonts w:asciiTheme="minorHAnsi" w:hAnsiTheme="minorHAnsi"/>
          <w:sz w:val="28"/>
        </w:rPr>
      </w:pPr>
      <w:proofErr w:type="gramStart"/>
      <w:r w:rsidRPr="00C754C5">
        <w:rPr>
          <w:rFonts w:asciiTheme="minorHAnsi" w:hAnsiTheme="minorHAnsi"/>
          <w:sz w:val="28"/>
        </w:rPr>
        <w:t>Доля дешевых объектов, цена квадратного метра которых меньше 35 тыс. руб., составляет 3,9% от общего объема предложения квартир, диапазон цены от 35 до 45 тыс. руб. составляет 11,4%. Большую долю рынка занимает диапазон цены от 45 до 60 тыс. руб. за кв. м, это 70,7% от объема выставленных на продажу квартир.</w:t>
      </w:r>
      <w:proofErr w:type="gramEnd"/>
      <w:r w:rsidRPr="00C754C5">
        <w:rPr>
          <w:rFonts w:asciiTheme="minorHAnsi" w:hAnsiTheme="minorHAnsi"/>
          <w:sz w:val="28"/>
        </w:rPr>
        <w:t xml:space="preserve"> Доля дорогих объектов, цена которых превышает 60 тыс. руб. за кв. м, составляет 14% от всего предложения. </w:t>
      </w:r>
    </w:p>
    <w:p w:rsidR="00DA1D47" w:rsidRPr="00C754C5" w:rsidRDefault="00DA1D4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DB1487" w:rsidRPr="00C754C5" w:rsidRDefault="00DB1487" w:rsidP="00DB1487">
      <w:pPr>
        <w:pStyle w:val="Tabledate"/>
        <w:jc w:val="left"/>
        <w:rPr>
          <w:rFonts w:asciiTheme="minorHAnsi" w:hAnsiTheme="minorHAnsi"/>
          <w:sz w:val="24"/>
        </w:rPr>
      </w:pPr>
      <w:r w:rsidRPr="00C754C5">
        <w:rPr>
          <w:rFonts w:asciiTheme="minorHAnsi" w:hAnsiTheme="minorHAnsi"/>
          <w:i/>
          <w:iCs/>
          <w:sz w:val="24"/>
        </w:rPr>
        <w:t>Распределение цены (тыс. руб./кв. м), % от общего объема</w:t>
      </w:r>
    </w:p>
    <w:p w:rsidR="00DB1487" w:rsidRPr="00C754C5" w:rsidRDefault="00DB148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  <w:sectPr w:rsidR="00DB1487" w:rsidRPr="00C754C5" w:rsidSect="0067716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B1487" w:rsidRPr="00C754C5" w:rsidRDefault="00AE1425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C754C5">
        <w:rPr>
          <w:rFonts w:asciiTheme="minorHAnsi" w:hAnsiTheme="minorHAnsi" w:cs="Times New Roman"/>
          <w:sz w:val="22"/>
          <w:szCs w:val="22"/>
        </w:rPr>
        <w:lastRenderedPageBreak/>
        <w:drawing>
          <wp:inline distT="0" distB="0" distL="0" distR="0">
            <wp:extent cx="3098165" cy="1831581"/>
            <wp:effectExtent l="19050" t="0" r="2603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tbl>
      <w:tblPr>
        <w:tblW w:w="4420" w:type="dxa"/>
        <w:tblCellMar>
          <w:left w:w="0" w:type="dxa"/>
          <w:right w:w="0" w:type="dxa"/>
        </w:tblCellMar>
        <w:tblLook w:val="04A0"/>
      </w:tblPr>
      <w:tblGrid>
        <w:gridCol w:w="1280"/>
        <w:gridCol w:w="1460"/>
        <w:gridCol w:w="1680"/>
      </w:tblGrid>
      <w:tr w:rsidR="00AE1425" w:rsidRPr="00C754C5" w:rsidTr="00DB1487">
        <w:trPr>
          <w:trHeight w:val="340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 w:rsidP="007C4ABB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lastRenderedPageBreak/>
              <w:t>тыс.  руб./кв. м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август 2013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сентябрь 2013</w:t>
            </w:r>
          </w:p>
        </w:tc>
      </w:tr>
      <w:tr w:rsidR="00AE1425" w:rsidRPr="00C754C5" w:rsidTr="00DB1487">
        <w:trPr>
          <w:trHeight w:val="263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0"/>
                <w:szCs w:val="20"/>
              </w:rPr>
              <w:t>&lt;35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1.87%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3.89%</w:t>
            </w:r>
          </w:p>
        </w:tc>
      </w:tr>
      <w:tr w:rsidR="00AE1425" w:rsidRPr="00C754C5" w:rsidTr="00DB1487">
        <w:trPr>
          <w:trHeight w:val="263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0"/>
                <w:szCs w:val="20"/>
              </w:rPr>
              <w:t>35-40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2.06%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2.42%</w:t>
            </w:r>
          </w:p>
        </w:tc>
      </w:tr>
      <w:tr w:rsidR="00AE1425" w:rsidRPr="00C754C5" w:rsidTr="00DB1487">
        <w:trPr>
          <w:trHeight w:val="263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0"/>
                <w:szCs w:val="20"/>
              </w:rPr>
              <w:t>40-45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9.10%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8.99%</w:t>
            </w:r>
          </w:p>
        </w:tc>
      </w:tr>
      <w:tr w:rsidR="00AE1425" w:rsidRPr="00C754C5" w:rsidTr="00DB1487">
        <w:trPr>
          <w:trHeight w:val="263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0"/>
                <w:szCs w:val="20"/>
              </w:rPr>
              <w:t>45-50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22.63%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20.81%</w:t>
            </w:r>
          </w:p>
        </w:tc>
      </w:tr>
      <w:tr w:rsidR="00AE1425" w:rsidRPr="00C754C5" w:rsidTr="00DB1487">
        <w:trPr>
          <w:trHeight w:val="263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0"/>
                <w:szCs w:val="20"/>
              </w:rPr>
              <w:t>50-55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28.35%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29.53%</w:t>
            </w:r>
          </w:p>
        </w:tc>
      </w:tr>
      <w:tr w:rsidR="00AE1425" w:rsidRPr="00C754C5" w:rsidTr="00DB1487">
        <w:trPr>
          <w:trHeight w:val="263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0"/>
                <w:szCs w:val="20"/>
              </w:rPr>
              <w:t>55-60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20.03%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20.40%</w:t>
            </w:r>
          </w:p>
        </w:tc>
      </w:tr>
      <w:tr w:rsidR="00AE1425" w:rsidRPr="00C754C5" w:rsidTr="00DB1487">
        <w:trPr>
          <w:trHeight w:val="263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0"/>
                <w:szCs w:val="20"/>
              </w:rPr>
              <w:t>60-65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10.29%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7.38%</w:t>
            </w:r>
          </w:p>
        </w:tc>
      </w:tr>
      <w:tr w:rsidR="00AE1425" w:rsidRPr="00C754C5" w:rsidTr="00DB1487">
        <w:trPr>
          <w:trHeight w:val="263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0"/>
                <w:szCs w:val="20"/>
              </w:rPr>
              <w:t>&gt;65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5.67%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6.58%</w:t>
            </w:r>
          </w:p>
        </w:tc>
      </w:tr>
    </w:tbl>
    <w:p w:rsidR="00DB1487" w:rsidRPr="00C754C5" w:rsidRDefault="00DB148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  <w:sectPr w:rsidR="00DB1487" w:rsidRPr="00C754C5" w:rsidSect="00DB148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B1487" w:rsidRPr="00C754C5" w:rsidRDefault="00DB148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AE1425" w:rsidRPr="00C754C5" w:rsidRDefault="00AE1425" w:rsidP="00AE1425">
      <w:pPr>
        <w:pStyle w:val="Tabledate"/>
        <w:jc w:val="left"/>
        <w:rPr>
          <w:rFonts w:asciiTheme="minorHAnsi" w:hAnsiTheme="minorHAnsi"/>
          <w:sz w:val="28"/>
        </w:rPr>
      </w:pPr>
      <w:r w:rsidRPr="00C754C5">
        <w:rPr>
          <w:rFonts w:asciiTheme="minorHAnsi" w:hAnsiTheme="minorHAnsi"/>
          <w:sz w:val="28"/>
        </w:rPr>
        <w:t xml:space="preserve">В структуре предложения на вторичном рынке квартир преобладают в основном квартиры, имеющие не более трех комнат. Доля однокомнатных квартир в сентябре составляет 31,9% рынка, двухкомнатных – 36%. </w:t>
      </w:r>
      <w:proofErr w:type="gramStart"/>
      <w:r w:rsidRPr="00C754C5">
        <w:rPr>
          <w:rFonts w:asciiTheme="minorHAnsi" w:hAnsiTheme="minorHAnsi"/>
          <w:sz w:val="28"/>
        </w:rPr>
        <w:t>Трехкомнатные</w:t>
      </w:r>
      <w:proofErr w:type="gramEnd"/>
      <w:r w:rsidRPr="00C754C5">
        <w:rPr>
          <w:rFonts w:asciiTheme="minorHAnsi" w:hAnsiTheme="minorHAnsi"/>
          <w:sz w:val="28"/>
        </w:rPr>
        <w:t xml:space="preserve"> занимают долю в размере 25,8%. На многокомнатные (от четырех комнат) в среднем приходится 6,3% от общего объема. </w:t>
      </w:r>
    </w:p>
    <w:p w:rsidR="00DB1487" w:rsidRPr="00C754C5" w:rsidRDefault="00DB1487" w:rsidP="00DB1487">
      <w:pPr>
        <w:pStyle w:val="Tabledate"/>
        <w:jc w:val="left"/>
        <w:rPr>
          <w:rFonts w:asciiTheme="minorHAnsi" w:hAnsiTheme="minorHAnsi"/>
          <w:i/>
          <w:iCs/>
          <w:sz w:val="24"/>
        </w:rPr>
      </w:pPr>
    </w:p>
    <w:p w:rsidR="00DB1487" w:rsidRPr="00C754C5" w:rsidRDefault="00DB1487" w:rsidP="00DB1487">
      <w:pPr>
        <w:pStyle w:val="Tabledate"/>
        <w:jc w:val="left"/>
        <w:rPr>
          <w:rFonts w:asciiTheme="minorHAnsi" w:hAnsiTheme="minorHAnsi"/>
          <w:sz w:val="24"/>
        </w:rPr>
      </w:pPr>
      <w:r w:rsidRPr="00C754C5">
        <w:rPr>
          <w:rFonts w:asciiTheme="minorHAnsi" w:hAnsiTheme="minorHAnsi"/>
          <w:i/>
          <w:iCs/>
          <w:sz w:val="24"/>
        </w:rPr>
        <w:t>Структура по типам квартир, % от общего объема</w:t>
      </w:r>
    </w:p>
    <w:p w:rsidR="00DB1487" w:rsidRPr="00C754C5" w:rsidRDefault="00AE1425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C754C5">
        <w:rPr>
          <w:rFonts w:asciiTheme="minorHAnsi" w:hAnsiTheme="minorHAnsi" w:cs="Times New Roman"/>
          <w:sz w:val="22"/>
          <w:szCs w:val="22"/>
        </w:rPr>
        <w:lastRenderedPageBreak/>
        <w:drawing>
          <wp:inline distT="0" distB="0" distL="0" distR="0">
            <wp:extent cx="2951163" cy="1800225"/>
            <wp:effectExtent l="19050" t="0" r="39687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Pr="00C754C5">
        <w:rPr>
          <w:rFonts w:asciiTheme="minorHAnsi" w:hAnsiTheme="minorHAnsi" w:cs="Times New Roman"/>
          <w:sz w:val="22"/>
          <w:szCs w:val="22"/>
        </w:rPr>
        <w:drawing>
          <wp:inline distT="0" distB="0" distL="0" distR="0">
            <wp:extent cx="3024188" cy="1800225"/>
            <wp:effectExtent l="19050" t="0" r="42862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B1487" w:rsidRPr="00C754C5" w:rsidRDefault="00DB148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DB1487" w:rsidRPr="00C754C5" w:rsidRDefault="00DB148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AE1425" w:rsidRPr="00C754C5" w:rsidRDefault="00AE1425" w:rsidP="00AE1425">
      <w:pPr>
        <w:pStyle w:val="Tabledate"/>
        <w:jc w:val="left"/>
        <w:rPr>
          <w:rFonts w:asciiTheme="minorHAnsi" w:hAnsiTheme="minorHAnsi"/>
          <w:sz w:val="28"/>
        </w:rPr>
      </w:pPr>
      <w:r w:rsidRPr="00C754C5">
        <w:rPr>
          <w:rFonts w:asciiTheme="minorHAnsi" w:hAnsiTheme="minorHAnsi"/>
          <w:sz w:val="28"/>
        </w:rPr>
        <w:t xml:space="preserve">В среднем по вторичному рынку изменение средней цены предложения на однокомнатные квартиры составило минус 0,8%. Цена квадратного метра двухкомнатных понизилась на 0,9%, изменение стоимости трехкомнатных составило 0,3%. Средние цены предложения на конец сентября 2013 года составили на однокомнатные квартиры 1,9 </w:t>
      </w:r>
      <w:proofErr w:type="spellStart"/>
      <w:proofErr w:type="gramStart"/>
      <w:r w:rsidRPr="00C754C5">
        <w:rPr>
          <w:rFonts w:asciiTheme="minorHAnsi" w:hAnsiTheme="minorHAnsi"/>
          <w:sz w:val="28"/>
        </w:rPr>
        <w:t>млн</w:t>
      </w:r>
      <w:proofErr w:type="spellEnd"/>
      <w:proofErr w:type="gramEnd"/>
      <w:r w:rsidRPr="00C754C5">
        <w:rPr>
          <w:rFonts w:asciiTheme="minorHAnsi" w:hAnsiTheme="minorHAnsi"/>
          <w:sz w:val="28"/>
        </w:rPr>
        <w:t xml:space="preserve"> руб., на двухкомнатные – 2,6 </w:t>
      </w:r>
      <w:proofErr w:type="spellStart"/>
      <w:r w:rsidRPr="00C754C5">
        <w:rPr>
          <w:rFonts w:asciiTheme="minorHAnsi" w:hAnsiTheme="minorHAnsi"/>
          <w:sz w:val="28"/>
        </w:rPr>
        <w:t>млн</w:t>
      </w:r>
      <w:proofErr w:type="spellEnd"/>
      <w:r w:rsidRPr="00C754C5">
        <w:rPr>
          <w:rFonts w:asciiTheme="minorHAnsi" w:hAnsiTheme="minorHAnsi"/>
          <w:sz w:val="28"/>
        </w:rPr>
        <w:t xml:space="preserve"> руб., на трехкомнатные – 3,5 </w:t>
      </w:r>
      <w:proofErr w:type="spellStart"/>
      <w:r w:rsidRPr="00C754C5">
        <w:rPr>
          <w:rFonts w:asciiTheme="minorHAnsi" w:hAnsiTheme="minorHAnsi"/>
          <w:sz w:val="28"/>
        </w:rPr>
        <w:t>млн</w:t>
      </w:r>
      <w:proofErr w:type="spellEnd"/>
      <w:r w:rsidRPr="00C754C5">
        <w:rPr>
          <w:rFonts w:asciiTheme="minorHAnsi" w:hAnsiTheme="minorHAnsi"/>
          <w:sz w:val="28"/>
        </w:rPr>
        <w:t xml:space="preserve"> руб.</w:t>
      </w:r>
    </w:p>
    <w:p w:rsidR="00DB1487" w:rsidRPr="00C754C5" w:rsidRDefault="00DB1487" w:rsidP="00DB1487">
      <w:pPr>
        <w:pStyle w:val="Tabledate"/>
        <w:jc w:val="left"/>
        <w:rPr>
          <w:rFonts w:asciiTheme="minorHAnsi" w:hAnsiTheme="minorHAnsi"/>
          <w:i/>
          <w:iCs/>
          <w:sz w:val="24"/>
        </w:rPr>
      </w:pPr>
    </w:p>
    <w:p w:rsidR="00DB1487" w:rsidRPr="00C754C5" w:rsidRDefault="00DB1487" w:rsidP="00DB1487">
      <w:pPr>
        <w:pStyle w:val="Tabledate"/>
        <w:jc w:val="left"/>
        <w:rPr>
          <w:rFonts w:asciiTheme="minorHAnsi" w:hAnsiTheme="minorHAnsi"/>
          <w:sz w:val="24"/>
        </w:rPr>
      </w:pPr>
      <w:r w:rsidRPr="00C754C5">
        <w:rPr>
          <w:rFonts w:asciiTheme="minorHAnsi" w:hAnsiTheme="minorHAnsi"/>
          <w:i/>
          <w:iCs/>
          <w:sz w:val="24"/>
        </w:rPr>
        <w:t>Цена по типу квартир, руб./кв. м</w:t>
      </w:r>
    </w:p>
    <w:p w:rsidR="00DB1487" w:rsidRPr="00C754C5" w:rsidRDefault="00DB148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  <w:sectPr w:rsidR="00DB1487" w:rsidRPr="00C754C5" w:rsidSect="0067716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B1487" w:rsidRPr="00C754C5" w:rsidRDefault="00AE1425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C754C5">
        <w:rPr>
          <w:rFonts w:asciiTheme="minorHAnsi" w:hAnsiTheme="minorHAnsi" w:cs="Times New Roman"/>
          <w:sz w:val="22"/>
          <w:szCs w:val="22"/>
        </w:rPr>
        <w:lastRenderedPageBreak/>
        <w:drawing>
          <wp:inline distT="0" distB="0" distL="0" distR="0">
            <wp:extent cx="3097213" cy="1728788"/>
            <wp:effectExtent l="19050" t="0" r="26987" b="4762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B1487" w:rsidRPr="00C754C5" w:rsidRDefault="00DB148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DB1487" w:rsidRPr="00C754C5" w:rsidRDefault="00DB148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DB1487" w:rsidRPr="00C754C5" w:rsidRDefault="00DB148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tbl>
      <w:tblPr>
        <w:tblW w:w="4760" w:type="dxa"/>
        <w:tblCellMar>
          <w:left w:w="0" w:type="dxa"/>
          <w:right w:w="0" w:type="dxa"/>
        </w:tblCellMar>
        <w:tblLook w:val="04A0"/>
      </w:tblPr>
      <w:tblGrid>
        <w:gridCol w:w="579"/>
        <w:gridCol w:w="999"/>
        <w:gridCol w:w="1139"/>
        <w:gridCol w:w="1139"/>
        <w:gridCol w:w="904"/>
      </w:tblGrid>
      <w:tr w:rsidR="00AE1425" w:rsidRPr="00C754C5" w:rsidTr="007C4ABB">
        <w:trPr>
          <w:trHeight w:val="453"/>
        </w:trPr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i/>
                <w:iCs/>
                <w:color w:val="000000"/>
                <w:kern w:val="24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Цена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август 2013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сентябрь 2013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 xml:space="preserve">изменение </w:t>
            </w:r>
          </w:p>
          <w:p w:rsidR="00AE1425" w:rsidRPr="00C754C5" w:rsidRDefault="00AE1425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за месяц</w:t>
            </w:r>
          </w:p>
        </w:tc>
      </w:tr>
      <w:tr w:rsidR="00AE1425" w:rsidRPr="00C754C5" w:rsidTr="007C4ABB">
        <w:trPr>
          <w:trHeight w:val="300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center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1ккв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тыс.  руб.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1 988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1 915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 </w:t>
            </w:r>
          </w:p>
        </w:tc>
      </w:tr>
      <w:tr w:rsidR="00AE1425" w:rsidRPr="00C754C5" w:rsidTr="007C4ABB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25" w:rsidRPr="00C754C5" w:rsidRDefault="00AE1425" w:rsidP="00DB1487">
            <w:pPr>
              <w:spacing w:after="0" w:line="240" w:lineRule="auto"/>
              <w:rPr>
                <w:rFonts w:asciiTheme="minorHAnsi" w:eastAsia="Times New Roman" w:hAnsiTheme="minorHAnsi" w:cs="Arial"/>
                <w:sz w:val="36"/>
                <w:szCs w:val="36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 w:rsidP="00DB1487">
            <w:pPr>
              <w:spacing w:after="0" w:line="300" w:lineRule="atLeast"/>
              <w:jc w:val="center"/>
              <w:textAlignment w:val="bottom"/>
              <w:rPr>
                <w:rFonts w:asciiTheme="minorHAnsi" w:eastAsia="Times New Roman" w:hAnsiTheme="minorHAnsi" w:cs="Arial"/>
                <w:sz w:val="36"/>
                <w:szCs w:val="36"/>
                <w:lang w:eastAsia="ru-RU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руб./кв. м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56 144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55 719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-0.76%</w:t>
            </w:r>
          </w:p>
        </w:tc>
      </w:tr>
      <w:tr w:rsidR="00AE1425" w:rsidRPr="00C754C5" w:rsidTr="007C4ABB">
        <w:trPr>
          <w:trHeight w:val="300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center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2ккв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тыс.  руб.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2 562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2 556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 </w:t>
            </w:r>
          </w:p>
        </w:tc>
      </w:tr>
      <w:tr w:rsidR="00AE1425" w:rsidRPr="00C754C5" w:rsidTr="007C4ABB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25" w:rsidRPr="00C754C5" w:rsidRDefault="00AE1425" w:rsidP="00DB1487">
            <w:pPr>
              <w:spacing w:after="0" w:line="240" w:lineRule="auto"/>
              <w:rPr>
                <w:rFonts w:asciiTheme="minorHAnsi" w:eastAsia="Times New Roman" w:hAnsiTheme="minorHAnsi" w:cs="Arial"/>
                <w:sz w:val="36"/>
                <w:szCs w:val="36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 w:rsidP="00DB1487">
            <w:pPr>
              <w:spacing w:after="0" w:line="300" w:lineRule="atLeast"/>
              <w:jc w:val="center"/>
              <w:textAlignment w:val="bottom"/>
              <w:rPr>
                <w:rFonts w:asciiTheme="minorHAnsi" w:eastAsia="Times New Roman" w:hAnsiTheme="minorHAnsi" w:cs="Arial"/>
                <w:sz w:val="36"/>
                <w:szCs w:val="36"/>
                <w:lang w:eastAsia="ru-RU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руб./кв. м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51 370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50 894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-0.93%</w:t>
            </w:r>
          </w:p>
        </w:tc>
      </w:tr>
      <w:tr w:rsidR="00AE1425" w:rsidRPr="00C754C5" w:rsidTr="007C4ABB">
        <w:trPr>
          <w:trHeight w:val="300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center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3ккв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тыс.  руб.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3 495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3 549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 </w:t>
            </w:r>
          </w:p>
        </w:tc>
      </w:tr>
      <w:tr w:rsidR="00AE1425" w:rsidRPr="00C754C5" w:rsidTr="007C4ABB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25" w:rsidRPr="00C754C5" w:rsidRDefault="00AE1425" w:rsidP="00DB1487">
            <w:pPr>
              <w:spacing w:after="0" w:line="240" w:lineRule="auto"/>
              <w:rPr>
                <w:rFonts w:asciiTheme="minorHAnsi" w:eastAsia="Times New Roman" w:hAnsiTheme="minorHAnsi" w:cs="Arial"/>
                <w:sz w:val="36"/>
                <w:szCs w:val="36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 w:rsidP="00DB1487">
            <w:pPr>
              <w:spacing w:after="0" w:line="300" w:lineRule="atLeast"/>
              <w:jc w:val="center"/>
              <w:textAlignment w:val="bottom"/>
              <w:rPr>
                <w:rFonts w:asciiTheme="minorHAnsi" w:eastAsia="Times New Roman" w:hAnsiTheme="minorHAnsi" w:cs="Arial"/>
                <w:sz w:val="36"/>
                <w:szCs w:val="36"/>
                <w:lang w:eastAsia="ru-RU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руб./кв. м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51 185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51 319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0.26%</w:t>
            </w:r>
          </w:p>
        </w:tc>
      </w:tr>
      <w:tr w:rsidR="00AE1425" w:rsidRPr="00C754C5" w:rsidTr="007C4ABB">
        <w:trPr>
          <w:trHeight w:val="300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center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4ккв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тыс.  руб.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4 246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4 522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 </w:t>
            </w:r>
          </w:p>
        </w:tc>
      </w:tr>
      <w:tr w:rsidR="00AE1425" w:rsidRPr="00C754C5" w:rsidTr="007C4ABB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25" w:rsidRPr="00C754C5" w:rsidRDefault="00AE1425" w:rsidP="00DB1487">
            <w:pPr>
              <w:spacing w:after="0" w:line="240" w:lineRule="auto"/>
              <w:rPr>
                <w:rFonts w:asciiTheme="minorHAnsi" w:eastAsia="Times New Roman" w:hAnsiTheme="minorHAnsi" w:cs="Arial"/>
                <w:sz w:val="36"/>
                <w:szCs w:val="36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 w:rsidP="00DB1487">
            <w:pPr>
              <w:spacing w:after="0" w:line="300" w:lineRule="atLeast"/>
              <w:jc w:val="center"/>
              <w:textAlignment w:val="bottom"/>
              <w:rPr>
                <w:rFonts w:asciiTheme="minorHAnsi" w:eastAsia="Times New Roman" w:hAnsiTheme="minorHAnsi" w:cs="Arial"/>
                <w:sz w:val="36"/>
                <w:szCs w:val="36"/>
                <w:lang w:eastAsia="ru-RU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руб./кв. м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48 450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49 175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300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1.50%</w:t>
            </w:r>
          </w:p>
        </w:tc>
      </w:tr>
    </w:tbl>
    <w:p w:rsidR="00DB1487" w:rsidRPr="00C754C5" w:rsidRDefault="00DB1487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  <w:sectPr w:rsidR="00DB1487" w:rsidRPr="00C754C5" w:rsidSect="00DB148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E1425" w:rsidRPr="00C754C5" w:rsidRDefault="00AE1425" w:rsidP="00AE1425">
      <w:pPr>
        <w:pStyle w:val="Tabledate"/>
        <w:jc w:val="left"/>
        <w:rPr>
          <w:rFonts w:asciiTheme="minorHAnsi" w:hAnsiTheme="minorHAnsi"/>
          <w:sz w:val="28"/>
        </w:rPr>
      </w:pPr>
      <w:r w:rsidRPr="00C754C5">
        <w:rPr>
          <w:rFonts w:asciiTheme="minorHAnsi" w:hAnsiTheme="minorHAnsi"/>
          <w:sz w:val="28"/>
        </w:rPr>
        <w:lastRenderedPageBreak/>
        <w:t>За прошедший период наибольший процент изменения средней цены предложения на вторичном рынке показали трехкомнатные квартиры в кирпичных домах – минус 2,1%. Однокомнатные подешевели на 1,2%, изменение цены предложения двухкомнатных составило минус 0,3%.</w:t>
      </w:r>
    </w:p>
    <w:p w:rsidR="00AE1425" w:rsidRPr="00C754C5" w:rsidRDefault="00AE1425" w:rsidP="00AE1425">
      <w:pPr>
        <w:pStyle w:val="Tabledate"/>
        <w:jc w:val="left"/>
        <w:rPr>
          <w:rFonts w:asciiTheme="minorHAnsi" w:hAnsiTheme="minorHAnsi"/>
          <w:sz w:val="28"/>
        </w:rPr>
      </w:pPr>
      <w:r w:rsidRPr="00C754C5">
        <w:rPr>
          <w:rFonts w:asciiTheme="minorHAnsi" w:hAnsiTheme="minorHAnsi"/>
          <w:sz w:val="28"/>
        </w:rPr>
        <w:t>В панельных домах однокомнатные квартиры показали повышение на 0,9%. Изменение средней цены предложения двухкомнатных и трехкомнатных квартир составило 0,4% и 1,1% соответственно.</w:t>
      </w:r>
    </w:p>
    <w:p w:rsidR="00AE1425" w:rsidRPr="00C754C5" w:rsidRDefault="00AE1425" w:rsidP="00AE1425">
      <w:pPr>
        <w:pStyle w:val="Tabledate"/>
        <w:jc w:val="left"/>
        <w:rPr>
          <w:rFonts w:asciiTheme="minorHAnsi" w:hAnsiTheme="minorHAnsi"/>
          <w:sz w:val="28"/>
        </w:rPr>
      </w:pPr>
      <w:proofErr w:type="gramStart"/>
      <w:r w:rsidRPr="00C754C5">
        <w:rPr>
          <w:rFonts w:asciiTheme="minorHAnsi" w:hAnsiTheme="minorHAnsi"/>
          <w:sz w:val="28"/>
        </w:rPr>
        <w:t xml:space="preserve">Самыми дорогими по стоимости квадратного метра являются однокомнатные квартиры кирпичных домах, цена предложения в сентябре 2013 года составила в среднем 57 тыс. руб. за кв. м. Самыми дешевыми вариантами по цене квадратного метра остаются трехкомнатные квартиры в домах панельной постройки, на конец сентября средняя цена предложения составила 49,2 тыс. руб. за кв. м жилья. </w:t>
      </w:r>
      <w:proofErr w:type="gramEnd"/>
    </w:p>
    <w:p w:rsidR="00AE1425" w:rsidRPr="00C754C5" w:rsidRDefault="00AE1425" w:rsidP="00FC4B59">
      <w:pPr>
        <w:pStyle w:val="Tabledate"/>
        <w:jc w:val="left"/>
        <w:rPr>
          <w:rFonts w:asciiTheme="minorHAnsi" w:hAnsiTheme="minorHAnsi"/>
          <w:sz w:val="28"/>
        </w:rPr>
      </w:pPr>
    </w:p>
    <w:p w:rsidR="00AE1425" w:rsidRPr="00C754C5" w:rsidRDefault="00AE1425" w:rsidP="00AE1425">
      <w:pPr>
        <w:pStyle w:val="Tabledate"/>
        <w:jc w:val="left"/>
        <w:rPr>
          <w:rFonts w:asciiTheme="minorHAnsi" w:hAnsiTheme="minorHAnsi"/>
          <w:sz w:val="24"/>
          <w:szCs w:val="24"/>
        </w:rPr>
      </w:pPr>
      <w:r w:rsidRPr="00C754C5">
        <w:rPr>
          <w:rFonts w:asciiTheme="minorHAnsi" w:hAnsiTheme="minorHAnsi"/>
          <w:i/>
          <w:iCs/>
          <w:sz w:val="24"/>
          <w:szCs w:val="24"/>
        </w:rPr>
        <w:t>Цена по типу дома и типу квартир, руб./кв. м</w:t>
      </w:r>
    </w:p>
    <w:p w:rsidR="00AE1425" w:rsidRPr="00C754C5" w:rsidRDefault="00AE1425" w:rsidP="00AE1425">
      <w:pPr>
        <w:pStyle w:val="Tabledate"/>
        <w:jc w:val="left"/>
        <w:rPr>
          <w:rFonts w:asciiTheme="minorHAnsi" w:hAnsiTheme="minorHAnsi"/>
          <w:i/>
          <w:iCs/>
          <w:sz w:val="24"/>
          <w:szCs w:val="24"/>
        </w:rPr>
      </w:pPr>
    </w:p>
    <w:p w:rsidR="00AE1425" w:rsidRPr="00C754C5" w:rsidRDefault="00AE1425" w:rsidP="00AE1425">
      <w:pPr>
        <w:pStyle w:val="Tabledate"/>
        <w:jc w:val="left"/>
        <w:rPr>
          <w:rFonts w:asciiTheme="minorHAnsi" w:hAnsiTheme="minorHAnsi"/>
          <w:sz w:val="24"/>
          <w:szCs w:val="24"/>
        </w:rPr>
      </w:pPr>
      <w:r w:rsidRPr="00C754C5">
        <w:rPr>
          <w:rFonts w:asciiTheme="minorHAnsi" w:hAnsiTheme="minorHAnsi"/>
          <w:i/>
          <w:iCs/>
          <w:sz w:val="24"/>
          <w:szCs w:val="24"/>
        </w:rPr>
        <w:t>Панельные дома</w:t>
      </w:r>
    </w:p>
    <w:tbl>
      <w:tblPr>
        <w:tblW w:w="9640" w:type="dxa"/>
        <w:tblCellMar>
          <w:left w:w="0" w:type="dxa"/>
          <w:right w:w="0" w:type="dxa"/>
        </w:tblCellMar>
        <w:tblLook w:val="04A0"/>
      </w:tblPr>
      <w:tblGrid>
        <w:gridCol w:w="1358"/>
        <w:gridCol w:w="1137"/>
        <w:gridCol w:w="1237"/>
        <w:gridCol w:w="1138"/>
        <w:gridCol w:w="1236"/>
        <w:gridCol w:w="1138"/>
        <w:gridCol w:w="1258"/>
        <w:gridCol w:w="1138"/>
      </w:tblGrid>
      <w:tr w:rsidR="00AE1425" w:rsidRPr="00C754C5" w:rsidTr="00AE1425">
        <w:trPr>
          <w:trHeight w:val="483"/>
        </w:trPr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AE1425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август 2012 года</w:t>
            </w:r>
          </w:p>
        </w:tc>
        <w:tc>
          <w:tcPr>
            <w:tcW w:w="3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сентябрь 2012 года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AE1425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изменение</w:t>
            </w:r>
          </w:p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за месяц</w:t>
            </w:r>
          </w:p>
        </w:tc>
      </w:tr>
      <w:tr w:rsidR="00AE1425" w:rsidRPr="00C754C5" w:rsidTr="00AE1425">
        <w:trPr>
          <w:trHeight w:val="453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754C5">
              <w:rPr>
                <w:rFonts w:asciiTheme="minorHAnsi" w:hAnsiTheme="minorHAnsi"/>
                <w:b/>
                <w:bCs/>
                <w:sz w:val="16"/>
                <w:szCs w:val="16"/>
              </w:rPr>
              <w:lastRenderedPageBreak/>
              <w:t>комнатность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AE1425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цена</w:t>
            </w:r>
            <w:r w:rsidRPr="00C754C5">
              <w:rPr>
                <w:rFonts w:asciiTheme="minorHAnsi" w:hAnsiTheme="minorHAnsi"/>
                <w:b/>
                <w:bCs/>
                <w:sz w:val="16"/>
                <w:szCs w:val="16"/>
              </w:rPr>
              <w:t>,</w:t>
            </w:r>
          </w:p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sz w:val="16"/>
                <w:szCs w:val="16"/>
              </w:rPr>
              <w:t>тыс.  руб.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AE1425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цена,</w:t>
            </w:r>
          </w:p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руб./кв.  м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AE1425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площадь,</w:t>
            </w:r>
          </w:p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кв. м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AE1425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цена,</w:t>
            </w:r>
          </w:p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тыс.  руб.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AE1425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цена,</w:t>
            </w:r>
          </w:p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руб./кв. м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AE1425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площадь,</w:t>
            </w:r>
          </w:p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кв. м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25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E1425" w:rsidRPr="00C754C5" w:rsidTr="00AE1425">
        <w:trPr>
          <w:trHeight w:val="535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1ккв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1 953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55 082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35.7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1 869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55 554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33.6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0.86%</w:t>
            </w:r>
          </w:p>
        </w:tc>
      </w:tr>
      <w:tr w:rsidR="00AE1425" w:rsidRPr="00C754C5" w:rsidTr="00AE1425">
        <w:trPr>
          <w:trHeight w:val="568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2ккв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2 412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49 875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48.3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2 400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50 080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47.9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0.41%</w:t>
            </w:r>
          </w:p>
        </w:tc>
      </w:tr>
      <w:tr w:rsidR="00AE1425" w:rsidRPr="00C754C5" w:rsidTr="00AE1425">
        <w:trPr>
          <w:trHeight w:val="568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3ккв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3 058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48 661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62.7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3 127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49 202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63.6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1.11%</w:t>
            </w:r>
          </w:p>
        </w:tc>
      </w:tr>
    </w:tbl>
    <w:p w:rsidR="00AE1425" w:rsidRPr="00C754C5" w:rsidRDefault="00AE1425" w:rsidP="00FC4B59">
      <w:pPr>
        <w:pStyle w:val="Tabledate"/>
        <w:jc w:val="left"/>
        <w:rPr>
          <w:rFonts w:asciiTheme="minorHAnsi" w:hAnsiTheme="minorHAnsi"/>
          <w:sz w:val="28"/>
        </w:rPr>
      </w:pPr>
    </w:p>
    <w:p w:rsidR="00AE1425" w:rsidRPr="00C754C5" w:rsidRDefault="00AE1425" w:rsidP="00AE1425">
      <w:pPr>
        <w:pStyle w:val="Tabledate"/>
        <w:jc w:val="left"/>
        <w:rPr>
          <w:rFonts w:asciiTheme="minorHAnsi" w:hAnsiTheme="minorHAnsi"/>
          <w:sz w:val="24"/>
          <w:szCs w:val="24"/>
        </w:rPr>
      </w:pPr>
      <w:r w:rsidRPr="00C754C5">
        <w:rPr>
          <w:rFonts w:asciiTheme="minorHAnsi" w:hAnsiTheme="minorHAnsi"/>
          <w:i/>
          <w:iCs/>
          <w:sz w:val="24"/>
          <w:szCs w:val="24"/>
        </w:rPr>
        <w:t>Кирпичные дома</w:t>
      </w:r>
    </w:p>
    <w:tbl>
      <w:tblPr>
        <w:tblW w:w="9640" w:type="dxa"/>
        <w:tblCellMar>
          <w:left w:w="0" w:type="dxa"/>
          <w:right w:w="0" w:type="dxa"/>
        </w:tblCellMar>
        <w:tblLook w:val="04A0"/>
      </w:tblPr>
      <w:tblGrid>
        <w:gridCol w:w="1360"/>
        <w:gridCol w:w="1137"/>
        <w:gridCol w:w="1237"/>
        <w:gridCol w:w="1138"/>
        <w:gridCol w:w="1236"/>
        <w:gridCol w:w="1137"/>
        <w:gridCol w:w="1257"/>
        <w:gridCol w:w="1138"/>
      </w:tblGrid>
      <w:tr w:rsidR="00AE1425" w:rsidRPr="00C754C5" w:rsidTr="00AE1425">
        <w:trPr>
          <w:trHeight w:val="483"/>
        </w:trPr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AE1425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август 2012 года</w:t>
            </w:r>
          </w:p>
        </w:tc>
        <w:tc>
          <w:tcPr>
            <w:tcW w:w="3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сентябрь 2012 года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AE1425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изменение</w:t>
            </w:r>
          </w:p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за месяц</w:t>
            </w:r>
          </w:p>
        </w:tc>
      </w:tr>
      <w:tr w:rsidR="00AE1425" w:rsidRPr="00C754C5" w:rsidTr="00AE1425">
        <w:trPr>
          <w:trHeight w:val="453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комнатность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AE1425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цена,</w:t>
            </w:r>
          </w:p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тыс.  руб.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AE1425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цена,</w:t>
            </w:r>
          </w:p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руб./кв.  м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AE1425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площадь,</w:t>
            </w:r>
          </w:p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кв. м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AE1425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цена,</w:t>
            </w:r>
          </w:p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тыс.  руб.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AE1425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цена,</w:t>
            </w:r>
          </w:p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руб./кв. м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AE1425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площадь,</w:t>
            </w:r>
          </w:p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кв. м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25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E1425" w:rsidRPr="00C754C5" w:rsidTr="00AE1425">
        <w:trPr>
          <w:trHeight w:val="535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1ккв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2 004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57 696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34.8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2 092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57 018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36.7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-1.17%</w:t>
            </w:r>
          </w:p>
        </w:tc>
      </w:tr>
      <w:tr w:rsidR="00AE1425" w:rsidRPr="00C754C5" w:rsidTr="00AE1425">
        <w:trPr>
          <w:trHeight w:val="568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2ккв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2 642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51 662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50.9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2 806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51 500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54.5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-0.31%</w:t>
            </w:r>
          </w:p>
        </w:tc>
      </w:tr>
      <w:tr w:rsidR="00AE1425" w:rsidRPr="00C754C5" w:rsidTr="00AE1425">
        <w:trPr>
          <w:trHeight w:val="568"/>
        </w:trPr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16"/>
                <w:szCs w:val="16"/>
              </w:rPr>
            </w:pPr>
            <w:r w:rsidRPr="00C754C5">
              <w:rPr>
                <w:rFonts w:asciiTheme="minorHAnsi" w:hAnsiTheme="minorHAnsi"/>
                <w:b/>
                <w:bCs/>
                <w:i/>
                <w:iCs/>
                <w:sz w:val="16"/>
                <w:szCs w:val="16"/>
              </w:rPr>
              <w:t>3ккв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4 193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54 736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76.2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3 581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53 614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66.8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C754C5" w:rsidRDefault="00AE1425" w:rsidP="00AE1425">
            <w:pPr>
              <w:pStyle w:val="Tabledate"/>
              <w:rPr>
                <w:rFonts w:asciiTheme="minorHAnsi" w:hAnsiTheme="minorHAnsi"/>
                <w:sz w:val="22"/>
                <w:szCs w:val="22"/>
              </w:rPr>
            </w:pPr>
            <w:r w:rsidRPr="00C754C5">
              <w:rPr>
                <w:rFonts w:asciiTheme="minorHAnsi" w:hAnsiTheme="minorHAnsi"/>
                <w:sz w:val="22"/>
                <w:szCs w:val="22"/>
              </w:rPr>
              <w:t>-2.05%</w:t>
            </w:r>
          </w:p>
        </w:tc>
      </w:tr>
    </w:tbl>
    <w:p w:rsidR="00AE1425" w:rsidRPr="00C754C5" w:rsidRDefault="00AE1425" w:rsidP="00FC4B59">
      <w:pPr>
        <w:pStyle w:val="Tabledate"/>
        <w:jc w:val="left"/>
        <w:rPr>
          <w:rFonts w:asciiTheme="minorHAnsi" w:hAnsiTheme="minorHAnsi"/>
          <w:sz w:val="28"/>
        </w:rPr>
      </w:pPr>
    </w:p>
    <w:p w:rsidR="00AE1425" w:rsidRPr="00C754C5" w:rsidRDefault="00AE1425" w:rsidP="00AE1425">
      <w:pPr>
        <w:pStyle w:val="Tabledate"/>
        <w:jc w:val="left"/>
        <w:rPr>
          <w:rFonts w:asciiTheme="minorHAnsi" w:hAnsiTheme="minorHAnsi"/>
          <w:sz w:val="28"/>
        </w:rPr>
      </w:pPr>
      <w:r w:rsidRPr="00C754C5">
        <w:rPr>
          <w:rFonts w:asciiTheme="minorHAnsi" w:hAnsiTheme="minorHAnsi"/>
          <w:sz w:val="28"/>
        </w:rPr>
        <w:t xml:space="preserve">Максимальное количество предложений однокомнатных квартир, выставленных на продажу, зафиксировано в диапазоне от 35 до 40 кв. м и от 30 до 35 кв. м общей площади, что занимает 32,3% и 37,5% соответственно от всего объема по указанному типу. </w:t>
      </w:r>
    </w:p>
    <w:p w:rsidR="00AE1425" w:rsidRPr="00C754C5" w:rsidRDefault="00AE1425" w:rsidP="00AE1425">
      <w:pPr>
        <w:pStyle w:val="Tabledate"/>
        <w:jc w:val="left"/>
        <w:rPr>
          <w:rFonts w:asciiTheme="minorHAnsi" w:hAnsiTheme="minorHAnsi"/>
          <w:sz w:val="28"/>
        </w:rPr>
      </w:pPr>
      <w:r w:rsidRPr="00C754C5">
        <w:rPr>
          <w:rFonts w:asciiTheme="minorHAnsi" w:hAnsiTheme="minorHAnsi"/>
          <w:sz w:val="28"/>
        </w:rPr>
        <w:t xml:space="preserve">В сегменте двухкомнатных квартир максимальное предложение объектов приходится на диапазоны от 40 до 50 кв. м, что составляет 58,1%. Также популярны диапазоны от 50 до 60 кв. м, что занимает 27,2% рынка по данному сегменту. </w:t>
      </w:r>
    </w:p>
    <w:p w:rsidR="00AE1425" w:rsidRPr="00C754C5" w:rsidRDefault="00AE1425" w:rsidP="00AE1425">
      <w:pPr>
        <w:pStyle w:val="Tabledate"/>
        <w:jc w:val="left"/>
        <w:rPr>
          <w:rFonts w:asciiTheme="minorHAnsi" w:hAnsiTheme="minorHAnsi"/>
          <w:sz w:val="28"/>
        </w:rPr>
      </w:pPr>
      <w:r w:rsidRPr="00C754C5">
        <w:rPr>
          <w:rFonts w:asciiTheme="minorHAnsi" w:hAnsiTheme="minorHAnsi"/>
          <w:sz w:val="28"/>
        </w:rPr>
        <w:t xml:space="preserve">По трехкомнатным квартирам максимальное число предложения объектов находится в диапазоне общей площади от 60 до 70 кв. м, что занимает 42,2% от всего объема по данному типу квартир. </w:t>
      </w:r>
    </w:p>
    <w:p w:rsidR="007C4ABB" w:rsidRPr="00C754C5" w:rsidRDefault="007C4ABB" w:rsidP="007C4ABB">
      <w:pPr>
        <w:pStyle w:val="Tabledate"/>
        <w:jc w:val="left"/>
        <w:rPr>
          <w:rFonts w:asciiTheme="minorHAnsi" w:hAnsiTheme="minorHAnsi"/>
          <w:i/>
          <w:iCs/>
          <w:sz w:val="24"/>
        </w:rPr>
      </w:pPr>
    </w:p>
    <w:p w:rsidR="007C4ABB" w:rsidRPr="00C754C5" w:rsidRDefault="007C4ABB" w:rsidP="007C4ABB">
      <w:pPr>
        <w:pStyle w:val="Tabledate"/>
        <w:jc w:val="left"/>
        <w:rPr>
          <w:rFonts w:asciiTheme="minorHAnsi" w:hAnsiTheme="minorHAnsi"/>
          <w:sz w:val="24"/>
        </w:rPr>
      </w:pPr>
      <w:r w:rsidRPr="00C754C5">
        <w:rPr>
          <w:rFonts w:asciiTheme="minorHAnsi" w:hAnsiTheme="minorHAnsi"/>
          <w:i/>
          <w:iCs/>
          <w:sz w:val="24"/>
        </w:rPr>
        <w:t>Диапазоны площади, кв. м</w:t>
      </w:r>
    </w:p>
    <w:p w:rsidR="007C4ABB" w:rsidRPr="00C754C5" w:rsidRDefault="007C4ABB" w:rsidP="007C4ABB">
      <w:pPr>
        <w:pStyle w:val="Tabledate"/>
        <w:jc w:val="left"/>
        <w:rPr>
          <w:rFonts w:asciiTheme="minorHAnsi" w:hAnsiTheme="minorHAnsi"/>
          <w:i/>
          <w:iCs/>
          <w:sz w:val="24"/>
        </w:rPr>
        <w:sectPr w:rsidR="007C4ABB" w:rsidRPr="00C754C5" w:rsidSect="0067716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C4ABB" w:rsidRPr="00C754C5" w:rsidRDefault="007C4ABB" w:rsidP="007C4ABB">
      <w:pPr>
        <w:pStyle w:val="Tabledate"/>
        <w:jc w:val="left"/>
        <w:rPr>
          <w:rFonts w:asciiTheme="minorHAnsi" w:hAnsiTheme="minorHAnsi"/>
          <w:i/>
          <w:iCs/>
          <w:sz w:val="24"/>
        </w:rPr>
      </w:pPr>
    </w:p>
    <w:p w:rsidR="007C4ABB" w:rsidRPr="00C754C5" w:rsidRDefault="007C4ABB" w:rsidP="007C4ABB">
      <w:pPr>
        <w:pStyle w:val="Tabledate"/>
        <w:jc w:val="left"/>
        <w:rPr>
          <w:rFonts w:asciiTheme="minorHAnsi" w:hAnsiTheme="minorHAnsi"/>
          <w:sz w:val="24"/>
        </w:rPr>
      </w:pPr>
      <w:r w:rsidRPr="00C754C5">
        <w:rPr>
          <w:rFonts w:asciiTheme="minorHAnsi" w:hAnsiTheme="minorHAnsi"/>
          <w:i/>
          <w:iCs/>
          <w:sz w:val="24"/>
        </w:rPr>
        <w:t>Однокомнатные квартиры</w:t>
      </w:r>
    </w:p>
    <w:p w:rsidR="007C4ABB" w:rsidRPr="00C754C5" w:rsidRDefault="007C4ABB" w:rsidP="007C4ABB">
      <w:pPr>
        <w:pStyle w:val="Tabledate"/>
        <w:jc w:val="left"/>
        <w:rPr>
          <w:rFonts w:asciiTheme="minorHAnsi" w:hAnsiTheme="minorHAnsi"/>
          <w:i/>
          <w:iCs/>
          <w:sz w:val="24"/>
        </w:rPr>
      </w:pPr>
    </w:p>
    <w:p w:rsidR="007C4ABB" w:rsidRPr="00C754C5" w:rsidRDefault="007C4ABB" w:rsidP="007C4ABB">
      <w:pPr>
        <w:pStyle w:val="Tabledate"/>
        <w:jc w:val="left"/>
        <w:rPr>
          <w:rFonts w:asciiTheme="minorHAnsi" w:hAnsiTheme="minorHAnsi"/>
          <w:sz w:val="24"/>
        </w:rPr>
      </w:pPr>
      <w:r w:rsidRPr="00C754C5">
        <w:rPr>
          <w:rFonts w:asciiTheme="minorHAnsi" w:hAnsiTheme="minorHAnsi"/>
          <w:i/>
          <w:iCs/>
          <w:sz w:val="24"/>
        </w:rPr>
        <w:t>Двухкомнатные квартиры</w:t>
      </w:r>
    </w:p>
    <w:p w:rsidR="007C4ABB" w:rsidRPr="00C754C5" w:rsidRDefault="007C4ABB" w:rsidP="007C4ABB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  <w:sectPr w:rsidR="007C4ABB" w:rsidRPr="00C754C5" w:rsidSect="00A84E9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C4ABB" w:rsidRPr="00C754C5" w:rsidRDefault="007C4ABB" w:rsidP="007C4ABB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C754C5">
        <w:rPr>
          <w:rFonts w:asciiTheme="minorHAnsi" w:eastAsia="Calibri" w:hAnsiTheme="minorHAnsi" w:cs="Times New Roman"/>
          <w:noProof/>
          <w:color w:val="auto"/>
          <w:sz w:val="22"/>
          <w:szCs w:val="22"/>
        </w:rPr>
        <w:lastRenderedPageBreak/>
        <w:t xml:space="preserve"> </w:t>
      </w:r>
      <w:r w:rsidR="00AE1425" w:rsidRPr="00C754C5">
        <w:rPr>
          <w:rFonts w:asciiTheme="minorHAnsi" w:eastAsia="Calibri" w:hAnsiTheme="minorHAnsi" w:cs="Times New Roman"/>
          <w:noProof/>
          <w:color w:val="auto"/>
          <w:sz w:val="22"/>
          <w:szCs w:val="22"/>
        </w:rPr>
        <w:drawing>
          <wp:inline distT="0" distB="0" distL="0" distR="0">
            <wp:extent cx="3143250" cy="1724025"/>
            <wp:effectExtent l="19050" t="0" r="19050" b="0"/>
            <wp:docPr id="11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AE1425" w:rsidRPr="00C754C5">
        <w:rPr>
          <w:rFonts w:asciiTheme="minorHAnsi" w:eastAsia="Calibri" w:hAnsiTheme="minorHAnsi" w:cs="Times New Roman"/>
          <w:noProof/>
          <w:color w:val="auto"/>
          <w:sz w:val="22"/>
          <w:szCs w:val="22"/>
        </w:rPr>
        <w:drawing>
          <wp:inline distT="0" distB="0" distL="0" distR="0">
            <wp:extent cx="3314700" cy="1695450"/>
            <wp:effectExtent l="19050" t="0" r="19050" b="0"/>
            <wp:docPr id="12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C4ABB" w:rsidRPr="00C754C5" w:rsidRDefault="007C4ABB" w:rsidP="007C4ABB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7C4ABB" w:rsidRPr="00C754C5" w:rsidRDefault="007C4ABB" w:rsidP="007C4ABB">
      <w:pPr>
        <w:pStyle w:val="Tabledate"/>
        <w:rPr>
          <w:rFonts w:asciiTheme="minorHAnsi" w:hAnsiTheme="minorHAnsi"/>
          <w:i/>
          <w:iCs/>
        </w:rPr>
        <w:sectPr w:rsidR="007C4ABB" w:rsidRPr="00C754C5" w:rsidSect="0067716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C4ABB" w:rsidRPr="00C754C5" w:rsidRDefault="007C4ABB" w:rsidP="007C4ABB">
      <w:pPr>
        <w:pStyle w:val="Tabledate"/>
        <w:jc w:val="left"/>
        <w:rPr>
          <w:rFonts w:asciiTheme="minorHAnsi" w:hAnsiTheme="minorHAnsi"/>
          <w:sz w:val="24"/>
        </w:rPr>
      </w:pPr>
      <w:r w:rsidRPr="00C754C5">
        <w:rPr>
          <w:rFonts w:asciiTheme="minorHAnsi" w:hAnsiTheme="minorHAnsi"/>
          <w:i/>
          <w:iCs/>
          <w:sz w:val="24"/>
        </w:rPr>
        <w:lastRenderedPageBreak/>
        <w:t>Трехкомнатные квартиры</w:t>
      </w:r>
    </w:p>
    <w:p w:rsidR="007C4ABB" w:rsidRPr="00C754C5" w:rsidRDefault="007C4ABB" w:rsidP="007C4ABB">
      <w:pPr>
        <w:pStyle w:val="Tabledate"/>
        <w:jc w:val="left"/>
        <w:rPr>
          <w:rFonts w:asciiTheme="minorHAnsi" w:hAnsiTheme="minorHAnsi"/>
          <w:sz w:val="24"/>
        </w:rPr>
      </w:pPr>
      <w:r w:rsidRPr="00C754C5">
        <w:rPr>
          <w:rFonts w:asciiTheme="minorHAnsi" w:hAnsiTheme="minorHAnsi"/>
          <w:i/>
          <w:iCs/>
          <w:sz w:val="24"/>
        </w:rPr>
        <w:lastRenderedPageBreak/>
        <w:t>Многокомнатные квартиры</w:t>
      </w:r>
    </w:p>
    <w:p w:rsidR="007C4ABB" w:rsidRPr="00C754C5" w:rsidRDefault="007C4ABB" w:rsidP="007C4ABB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  <w:sectPr w:rsidR="007C4ABB" w:rsidRPr="00C754C5" w:rsidSect="00A84E9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C4ABB" w:rsidRPr="00C754C5" w:rsidRDefault="007C4ABB" w:rsidP="007C4ABB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C754C5">
        <w:rPr>
          <w:rFonts w:asciiTheme="minorHAnsi" w:eastAsia="Calibri" w:hAnsiTheme="minorHAnsi" w:cs="Times New Roman"/>
          <w:noProof/>
          <w:color w:val="auto"/>
          <w:sz w:val="22"/>
          <w:szCs w:val="22"/>
        </w:rPr>
        <w:lastRenderedPageBreak/>
        <w:t xml:space="preserve"> </w:t>
      </w:r>
      <w:r w:rsidR="00AE1425" w:rsidRPr="00C754C5">
        <w:rPr>
          <w:rFonts w:asciiTheme="minorHAnsi" w:eastAsia="Calibri" w:hAnsiTheme="minorHAnsi" w:cs="Times New Roman"/>
          <w:noProof/>
          <w:color w:val="auto"/>
          <w:sz w:val="22"/>
          <w:szCs w:val="22"/>
        </w:rPr>
        <w:drawing>
          <wp:inline distT="0" distB="0" distL="0" distR="0">
            <wp:extent cx="3181350" cy="1771650"/>
            <wp:effectExtent l="19050" t="0" r="19050" b="0"/>
            <wp:docPr id="13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AE1425" w:rsidRPr="00C754C5">
        <w:rPr>
          <w:rFonts w:asciiTheme="minorHAnsi" w:eastAsia="Calibri" w:hAnsiTheme="minorHAnsi" w:cs="Times New Roman"/>
          <w:noProof/>
          <w:color w:val="auto"/>
          <w:sz w:val="22"/>
          <w:szCs w:val="22"/>
        </w:rPr>
        <w:drawing>
          <wp:inline distT="0" distB="0" distL="0" distR="0">
            <wp:extent cx="3219450" cy="1752600"/>
            <wp:effectExtent l="19050" t="0" r="19050" b="0"/>
            <wp:docPr id="14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C4ABB" w:rsidRPr="00C754C5" w:rsidRDefault="007C4ABB" w:rsidP="00DB1487">
      <w:pPr>
        <w:pStyle w:val="Tabledate"/>
        <w:jc w:val="left"/>
        <w:rPr>
          <w:rFonts w:asciiTheme="minorHAnsi" w:hAnsiTheme="minorHAnsi"/>
          <w:sz w:val="28"/>
        </w:rPr>
      </w:pPr>
    </w:p>
    <w:p w:rsidR="00AE1425" w:rsidRPr="00C754C5" w:rsidRDefault="00AE1425" w:rsidP="00AE1425">
      <w:pPr>
        <w:pStyle w:val="Tabledate"/>
        <w:jc w:val="left"/>
        <w:rPr>
          <w:rFonts w:asciiTheme="minorHAnsi" w:hAnsiTheme="minorHAnsi"/>
          <w:sz w:val="28"/>
        </w:rPr>
      </w:pPr>
      <w:r w:rsidRPr="00C754C5">
        <w:rPr>
          <w:rFonts w:asciiTheme="minorHAnsi" w:hAnsiTheme="minorHAnsi"/>
          <w:sz w:val="28"/>
        </w:rPr>
        <w:t>Изменение средней цены предложения комнат, выставленных на продажу за прошедший месяц, в рублевом эквиваленте составило минус 0,9%, это 508 руб. с одного квадратного метра. Показатель средней цены предложения в сентябре 2013 года – 54,2 тыс. руб. за кв. м (в среднем 931 тыс. руб. за комнату).</w:t>
      </w:r>
    </w:p>
    <w:p w:rsidR="00A84E9D" w:rsidRPr="00C754C5" w:rsidRDefault="00A84E9D" w:rsidP="00A84E9D">
      <w:pPr>
        <w:pStyle w:val="Tabledate"/>
        <w:jc w:val="left"/>
        <w:rPr>
          <w:rFonts w:asciiTheme="minorHAnsi" w:hAnsiTheme="minorHAnsi"/>
          <w:i/>
          <w:iCs/>
          <w:sz w:val="24"/>
        </w:rPr>
      </w:pPr>
    </w:p>
    <w:p w:rsidR="00A84E9D" w:rsidRPr="00C754C5" w:rsidRDefault="00A84E9D" w:rsidP="00A84E9D">
      <w:pPr>
        <w:pStyle w:val="Tabledate"/>
        <w:jc w:val="left"/>
        <w:rPr>
          <w:rFonts w:asciiTheme="minorHAnsi" w:hAnsiTheme="minorHAnsi"/>
          <w:i/>
          <w:iCs/>
          <w:sz w:val="24"/>
        </w:rPr>
        <w:sectPr w:rsidR="00A84E9D" w:rsidRPr="00C754C5" w:rsidSect="0067716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84E9D" w:rsidRPr="00C754C5" w:rsidRDefault="00A84E9D" w:rsidP="00A84E9D">
      <w:pPr>
        <w:pStyle w:val="Tabledate"/>
        <w:jc w:val="left"/>
        <w:rPr>
          <w:rFonts w:asciiTheme="minorHAnsi" w:hAnsiTheme="minorHAnsi"/>
          <w:sz w:val="24"/>
        </w:rPr>
      </w:pPr>
      <w:r w:rsidRPr="00C754C5">
        <w:rPr>
          <w:rFonts w:asciiTheme="minorHAnsi" w:hAnsiTheme="minorHAnsi"/>
          <w:i/>
          <w:iCs/>
          <w:sz w:val="24"/>
        </w:rPr>
        <w:lastRenderedPageBreak/>
        <w:t>Цена комнат, руб./кв. м</w:t>
      </w:r>
    </w:p>
    <w:p w:rsidR="00A84E9D" w:rsidRPr="00C754C5" w:rsidRDefault="00A84E9D" w:rsidP="00A84E9D">
      <w:pPr>
        <w:pStyle w:val="Tabledate"/>
        <w:jc w:val="left"/>
        <w:rPr>
          <w:rFonts w:asciiTheme="minorHAnsi" w:hAnsiTheme="minorHAnsi"/>
          <w:sz w:val="24"/>
        </w:rPr>
      </w:pPr>
      <w:r w:rsidRPr="00C754C5">
        <w:rPr>
          <w:rFonts w:asciiTheme="minorHAnsi" w:hAnsiTheme="minorHAnsi"/>
          <w:i/>
          <w:iCs/>
          <w:sz w:val="24"/>
        </w:rPr>
        <w:lastRenderedPageBreak/>
        <w:t>Изменение цены комнат, % к предыдущему месяцу</w:t>
      </w:r>
    </w:p>
    <w:p w:rsidR="00A84E9D" w:rsidRPr="00C754C5" w:rsidRDefault="00A84E9D" w:rsidP="00A84E9D">
      <w:pPr>
        <w:pStyle w:val="Tabledate"/>
        <w:jc w:val="left"/>
        <w:rPr>
          <w:rFonts w:asciiTheme="minorHAnsi" w:hAnsiTheme="minorHAnsi" w:cs="Times New Roman"/>
          <w:sz w:val="32"/>
          <w:szCs w:val="22"/>
        </w:rPr>
        <w:sectPr w:rsidR="00A84E9D" w:rsidRPr="00C754C5" w:rsidSect="00A84E9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84E9D" w:rsidRPr="00C754C5" w:rsidRDefault="007C4ABB" w:rsidP="00A84E9D">
      <w:pPr>
        <w:pStyle w:val="Tabledate"/>
        <w:jc w:val="left"/>
        <w:rPr>
          <w:rFonts w:asciiTheme="minorHAnsi" w:hAnsiTheme="minorHAnsi" w:cs="Times New Roman"/>
          <w:sz w:val="32"/>
          <w:szCs w:val="22"/>
        </w:rPr>
      </w:pPr>
      <w:r w:rsidRPr="00C754C5">
        <w:rPr>
          <w:rFonts w:asciiTheme="minorHAnsi" w:eastAsia="Calibri" w:hAnsiTheme="minorHAnsi" w:cs="Times New Roman"/>
          <w:noProof/>
          <w:color w:val="auto"/>
          <w:sz w:val="22"/>
          <w:szCs w:val="22"/>
        </w:rPr>
        <w:lastRenderedPageBreak/>
        <w:t xml:space="preserve"> </w:t>
      </w:r>
      <w:r w:rsidR="00AE1425" w:rsidRPr="00C754C5">
        <w:rPr>
          <w:rFonts w:asciiTheme="minorHAnsi" w:eastAsia="Calibri" w:hAnsiTheme="minorHAnsi" w:cs="Times New Roman"/>
          <w:noProof/>
          <w:color w:val="auto"/>
          <w:sz w:val="22"/>
          <w:szCs w:val="22"/>
        </w:rPr>
        <w:drawing>
          <wp:inline distT="0" distB="0" distL="0" distR="0">
            <wp:extent cx="3097213" cy="1800225"/>
            <wp:effectExtent l="19050" t="0" r="26987" b="0"/>
            <wp:docPr id="18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AE1425" w:rsidRPr="00C754C5">
        <w:rPr>
          <w:rFonts w:asciiTheme="minorHAnsi" w:eastAsia="Calibri" w:hAnsiTheme="minorHAnsi" w:cs="Times New Roman"/>
          <w:noProof/>
          <w:color w:val="auto"/>
          <w:sz w:val="22"/>
          <w:szCs w:val="22"/>
        </w:rPr>
        <w:drawing>
          <wp:inline distT="0" distB="0" distL="0" distR="0">
            <wp:extent cx="3240087" cy="1800225"/>
            <wp:effectExtent l="19050" t="0" r="17463" b="0"/>
            <wp:docPr id="19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84E9D" w:rsidRPr="00C754C5" w:rsidRDefault="00A84E9D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AE1425" w:rsidRPr="00C754C5" w:rsidRDefault="00AE1425" w:rsidP="00AE1425">
      <w:pPr>
        <w:pStyle w:val="Tabledate"/>
        <w:jc w:val="left"/>
        <w:rPr>
          <w:rFonts w:asciiTheme="minorHAnsi" w:hAnsiTheme="minorHAnsi"/>
          <w:sz w:val="28"/>
        </w:rPr>
      </w:pPr>
      <w:r w:rsidRPr="00C754C5">
        <w:rPr>
          <w:rFonts w:asciiTheme="minorHAnsi" w:hAnsiTheme="minorHAnsi"/>
          <w:sz w:val="28"/>
        </w:rPr>
        <w:t xml:space="preserve">Доля дешевых объектов, цена квадратного метра которых меньше 45 тыс. руб., составляет 11,9% от всего предложения комнат. Диапазон цены от 45 до 50 тыс. руб. составляет 10,1%. Большую долю рынка занимают цены в диапазоне от 50 до 65 тыс. руб. за кв. м, это 64,9% от объема выставленных на продажу комнат. Доля дорогих объектов, цена которых превышает 65 тыс. руб. за кв. м, составляет 13,1% от всего предложения. </w:t>
      </w:r>
    </w:p>
    <w:p w:rsidR="00A84E9D" w:rsidRPr="00C754C5" w:rsidRDefault="00A84E9D" w:rsidP="00A84E9D">
      <w:pPr>
        <w:pStyle w:val="Tabledate"/>
        <w:jc w:val="left"/>
        <w:rPr>
          <w:rFonts w:asciiTheme="minorHAnsi" w:hAnsiTheme="minorHAnsi"/>
          <w:sz w:val="24"/>
        </w:rPr>
      </w:pPr>
    </w:p>
    <w:p w:rsidR="00A84E9D" w:rsidRPr="00C754C5" w:rsidRDefault="00A84E9D" w:rsidP="00A84E9D">
      <w:pPr>
        <w:pStyle w:val="Tabledate"/>
        <w:jc w:val="left"/>
        <w:rPr>
          <w:rFonts w:asciiTheme="minorHAnsi" w:hAnsiTheme="minorHAnsi"/>
          <w:sz w:val="24"/>
        </w:rPr>
      </w:pPr>
      <w:r w:rsidRPr="00C754C5">
        <w:rPr>
          <w:rFonts w:asciiTheme="minorHAnsi" w:hAnsiTheme="minorHAnsi"/>
          <w:i/>
          <w:iCs/>
          <w:sz w:val="24"/>
        </w:rPr>
        <w:t>Распределение цены комнат (тыс. руб./кв. м), % от общего объема</w:t>
      </w:r>
    </w:p>
    <w:p w:rsidR="00A84E9D" w:rsidRPr="00C754C5" w:rsidRDefault="00A84E9D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  <w:sectPr w:rsidR="00A84E9D" w:rsidRPr="00C754C5" w:rsidSect="0067716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84E9D" w:rsidRPr="00C754C5" w:rsidRDefault="00AE1425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C754C5">
        <w:rPr>
          <w:rFonts w:asciiTheme="minorHAnsi" w:hAnsiTheme="minorHAnsi" w:cs="Times New Roman"/>
          <w:sz w:val="22"/>
          <w:szCs w:val="22"/>
        </w:rPr>
        <w:lastRenderedPageBreak/>
        <w:drawing>
          <wp:inline distT="0" distB="0" distL="0" distR="0">
            <wp:extent cx="3098165" cy="1831581"/>
            <wp:effectExtent l="19050" t="0" r="26035" b="0"/>
            <wp:docPr id="20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tbl>
      <w:tblPr>
        <w:tblW w:w="4420" w:type="dxa"/>
        <w:tblCellMar>
          <w:left w:w="0" w:type="dxa"/>
          <w:right w:w="0" w:type="dxa"/>
        </w:tblCellMar>
        <w:tblLook w:val="04A0"/>
      </w:tblPr>
      <w:tblGrid>
        <w:gridCol w:w="1280"/>
        <w:gridCol w:w="1460"/>
        <w:gridCol w:w="1680"/>
      </w:tblGrid>
      <w:tr w:rsidR="00AE1425" w:rsidRPr="00C754C5" w:rsidTr="00A84E9D">
        <w:trPr>
          <w:trHeight w:val="383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lastRenderedPageBreak/>
              <w:t>тыс. руб./</w:t>
            </w:r>
          </w:p>
          <w:p w:rsidR="00AE1425" w:rsidRPr="00C754C5" w:rsidRDefault="00AE1425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кв. м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август 2013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t>сентябрь 2013</w:t>
            </w:r>
          </w:p>
        </w:tc>
      </w:tr>
      <w:tr w:rsidR="00AE1425" w:rsidRPr="00C754C5" w:rsidTr="00A84E9D">
        <w:trPr>
          <w:trHeight w:val="298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0"/>
                <w:szCs w:val="20"/>
              </w:rPr>
              <w:t>&lt;35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3.81%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2.50%</w:t>
            </w:r>
          </w:p>
        </w:tc>
      </w:tr>
      <w:tr w:rsidR="00AE1425" w:rsidRPr="00C754C5" w:rsidTr="00A84E9D">
        <w:trPr>
          <w:trHeight w:val="298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0"/>
                <w:szCs w:val="20"/>
              </w:rPr>
              <w:t>35-40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12.94%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9.38%</w:t>
            </w:r>
          </w:p>
        </w:tc>
      </w:tr>
      <w:tr w:rsidR="00AE1425" w:rsidRPr="00C754C5" w:rsidTr="00A84E9D">
        <w:trPr>
          <w:trHeight w:val="298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0"/>
                <w:szCs w:val="20"/>
              </w:rPr>
              <w:t>40-45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13.69%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10.13%</w:t>
            </w:r>
          </w:p>
        </w:tc>
      </w:tr>
      <w:tr w:rsidR="00AE1425" w:rsidRPr="00C754C5" w:rsidTr="00A84E9D">
        <w:trPr>
          <w:trHeight w:val="298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0"/>
                <w:szCs w:val="20"/>
              </w:rPr>
              <w:t>45-50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21.32%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25.63%</w:t>
            </w:r>
          </w:p>
        </w:tc>
      </w:tr>
      <w:tr w:rsidR="00AE1425" w:rsidRPr="00C754C5" w:rsidTr="00A84E9D">
        <w:trPr>
          <w:trHeight w:val="298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0"/>
                <w:szCs w:val="20"/>
              </w:rPr>
              <w:t>50-55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17.74%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21.88%</w:t>
            </w:r>
          </w:p>
        </w:tc>
      </w:tr>
      <w:tr w:rsidR="00AE1425" w:rsidRPr="00C754C5" w:rsidTr="00A84E9D">
        <w:trPr>
          <w:trHeight w:val="298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0"/>
                <w:szCs w:val="20"/>
              </w:rPr>
              <w:t>55-60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17.01%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F1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17.38%</w:t>
            </w:r>
          </w:p>
        </w:tc>
      </w:tr>
      <w:tr w:rsidR="00AE1425" w:rsidRPr="00C754C5" w:rsidTr="00A84E9D">
        <w:trPr>
          <w:trHeight w:val="298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0"/>
                <w:szCs w:val="20"/>
              </w:rPr>
              <w:t>&gt;60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13.50%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E1425" w:rsidRPr="00C754C5" w:rsidRDefault="00AE1425">
            <w:pPr>
              <w:pStyle w:val="a5"/>
              <w:spacing w:before="0" w:beforeAutospacing="0" w:after="0" w:afterAutospacing="0" w:line="298" w:lineRule="atLeast"/>
              <w:jc w:val="center"/>
              <w:textAlignment w:val="bottom"/>
              <w:rPr>
                <w:rFonts w:asciiTheme="minorHAnsi" w:hAnsiTheme="minorHAnsi" w:cs="Arial"/>
                <w:sz w:val="36"/>
                <w:szCs w:val="36"/>
              </w:rPr>
            </w:pPr>
            <w:r w:rsidRPr="00C754C5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13.13%</w:t>
            </w:r>
          </w:p>
        </w:tc>
      </w:tr>
    </w:tbl>
    <w:p w:rsidR="00A84E9D" w:rsidRPr="00C754C5" w:rsidRDefault="00A84E9D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  <w:sectPr w:rsidR="00A84E9D" w:rsidRPr="00C754C5" w:rsidSect="00A84E9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84E9D" w:rsidRPr="00C754C5" w:rsidRDefault="00A84E9D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2F2DCE" w:rsidRPr="00C754C5" w:rsidRDefault="002F2DCE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C754C5">
        <w:rPr>
          <w:rFonts w:asciiTheme="minorHAnsi" w:hAnsiTheme="minorHAnsi" w:cs="Times New Roman"/>
          <w:sz w:val="22"/>
          <w:szCs w:val="22"/>
        </w:rPr>
        <w:t>____________________________________________________________________________</w:t>
      </w:r>
    </w:p>
    <w:p w:rsidR="0067716F" w:rsidRPr="00C754C5" w:rsidRDefault="0067716F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  <w:sectPr w:rsidR="0067716F" w:rsidRPr="00C754C5" w:rsidSect="0067716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F2DCE" w:rsidRPr="00C754C5" w:rsidRDefault="002F2DCE" w:rsidP="002F2DCE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bookmarkEnd w:id="0"/>
    <w:p w:rsidR="007D0D26" w:rsidRPr="00C754C5" w:rsidRDefault="007D0D26" w:rsidP="007D0D26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C754C5">
        <w:rPr>
          <w:rFonts w:asciiTheme="minorHAnsi" w:hAnsiTheme="minorHAnsi" w:cs="Times New Roman"/>
          <w:sz w:val="22"/>
          <w:szCs w:val="22"/>
        </w:rPr>
        <w:t xml:space="preserve">Отчет выполнен в соответствии с методологией Главного аналитика РГР Г.М. </w:t>
      </w:r>
      <w:proofErr w:type="spellStart"/>
      <w:r w:rsidRPr="00C754C5">
        <w:rPr>
          <w:rFonts w:asciiTheme="minorHAnsi" w:hAnsiTheme="minorHAnsi" w:cs="Times New Roman"/>
          <w:sz w:val="22"/>
          <w:szCs w:val="22"/>
        </w:rPr>
        <w:t>Стерника</w:t>
      </w:r>
      <w:proofErr w:type="spellEnd"/>
    </w:p>
    <w:p w:rsidR="007D0D26" w:rsidRPr="00C754C5" w:rsidRDefault="007D0D26" w:rsidP="007D0D26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</w:p>
    <w:p w:rsidR="007D0D26" w:rsidRPr="00C754C5" w:rsidRDefault="007D0D26" w:rsidP="007D0D26">
      <w:pPr>
        <w:pStyle w:val="Tabledate"/>
        <w:jc w:val="left"/>
        <w:rPr>
          <w:rFonts w:asciiTheme="minorHAnsi" w:hAnsiTheme="minorHAnsi" w:cs="Times New Roman"/>
          <w:sz w:val="22"/>
          <w:szCs w:val="22"/>
        </w:rPr>
      </w:pPr>
      <w:r w:rsidRPr="00C754C5">
        <w:rPr>
          <w:rFonts w:asciiTheme="minorHAnsi" w:hAnsiTheme="minorHAnsi" w:cs="Times New Roman"/>
          <w:sz w:val="22"/>
          <w:szCs w:val="22"/>
        </w:rPr>
        <w:lastRenderedPageBreak/>
        <w:t xml:space="preserve">Подготовлено:  </w:t>
      </w:r>
    </w:p>
    <w:p w:rsidR="007D0D26" w:rsidRPr="00C754C5" w:rsidRDefault="007D0D26" w:rsidP="007D0D26">
      <w:pPr>
        <w:spacing w:after="0"/>
        <w:rPr>
          <w:rFonts w:asciiTheme="minorHAnsi" w:hAnsiTheme="minorHAnsi"/>
        </w:rPr>
      </w:pPr>
      <w:proofErr w:type="spellStart"/>
      <w:r w:rsidRPr="00C754C5">
        <w:rPr>
          <w:rFonts w:asciiTheme="minorHAnsi" w:hAnsiTheme="minorHAnsi"/>
        </w:rPr>
        <w:t>Бент</w:t>
      </w:r>
      <w:proofErr w:type="spellEnd"/>
      <w:r w:rsidRPr="00C754C5">
        <w:rPr>
          <w:rFonts w:asciiTheme="minorHAnsi" w:hAnsiTheme="minorHAnsi"/>
        </w:rPr>
        <w:t xml:space="preserve"> М.А., САРН, ООО «ГК «Бюллетень Недвижимости»</w:t>
      </w:r>
    </w:p>
    <w:p w:rsidR="007D0D26" w:rsidRPr="00C754C5" w:rsidRDefault="007D0D26" w:rsidP="007D0D26">
      <w:pPr>
        <w:spacing w:after="0"/>
        <w:rPr>
          <w:rFonts w:asciiTheme="minorHAnsi" w:hAnsiTheme="minorHAnsi"/>
          <w:lang w:val="en-US"/>
        </w:rPr>
      </w:pPr>
      <w:r w:rsidRPr="00C754C5">
        <w:rPr>
          <w:rFonts w:asciiTheme="minorHAnsi" w:hAnsiTheme="minorHAnsi"/>
        </w:rPr>
        <w:t>тел</w:t>
      </w:r>
      <w:r w:rsidRPr="00C754C5">
        <w:rPr>
          <w:rFonts w:asciiTheme="minorHAnsi" w:hAnsiTheme="minorHAnsi"/>
          <w:lang w:val="en-US"/>
        </w:rPr>
        <w:t xml:space="preserve">. (812) 329-36-78, e-mail: </w:t>
      </w:r>
      <w:hyperlink r:id="rId17" w:history="1">
        <w:r w:rsidRPr="00C754C5">
          <w:rPr>
            <w:rStyle w:val="a6"/>
            <w:rFonts w:asciiTheme="minorHAnsi" w:hAnsiTheme="minorHAnsi"/>
            <w:lang w:val="en-US"/>
          </w:rPr>
          <w:t>analitika@bn.ru</w:t>
        </w:r>
      </w:hyperlink>
      <w:r w:rsidRPr="00C754C5">
        <w:rPr>
          <w:rFonts w:asciiTheme="minorHAnsi" w:hAnsiTheme="minorHAnsi"/>
          <w:lang w:val="en-US"/>
        </w:rPr>
        <w:t xml:space="preserve">, </w:t>
      </w:r>
    </w:p>
    <w:p w:rsidR="007D0D26" w:rsidRPr="00C754C5" w:rsidRDefault="007D0D26" w:rsidP="007D0D26">
      <w:pPr>
        <w:spacing w:after="0"/>
        <w:rPr>
          <w:rFonts w:asciiTheme="minorHAnsi" w:hAnsiTheme="minorHAnsi"/>
        </w:rPr>
      </w:pPr>
      <w:proofErr w:type="gramStart"/>
      <w:r w:rsidRPr="00C754C5">
        <w:rPr>
          <w:rFonts w:asciiTheme="minorHAnsi" w:hAnsiTheme="minorHAnsi"/>
          <w:lang w:val="en-US"/>
        </w:rPr>
        <w:t>web-</w:t>
      </w:r>
      <w:r w:rsidRPr="00C754C5">
        <w:rPr>
          <w:rFonts w:asciiTheme="minorHAnsi" w:hAnsiTheme="minorHAnsi"/>
        </w:rPr>
        <w:t>сайт</w:t>
      </w:r>
      <w:proofErr w:type="gramEnd"/>
      <w:r w:rsidRPr="00C754C5">
        <w:rPr>
          <w:rFonts w:asciiTheme="minorHAnsi" w:hAnsiTheme="minorHAnsi"/>
          <w:lang w:val="en-US"/>
        </w:rPr>
        <w:t>: www.bn.ru</w:t>
      </w:r>
    </w:p>
    <w:p w:rsidR="00954379" w:rsidRPr="00C754C5" w:rsidRDefault="00954379" w:rsidP="00AC0B4E">
      <w:pPr>
        <w:rPr>
          <w:rFonts w:asciiTheme="minorHAnsi" w:hAnsiTheme="minorHAnsi"/>
          <w:noProof/>
          <w:lang w:eastAsia="ru-RU"/>
        </w:rPr>
      </w:pPr>
    </w:p>
    <w:sectPr w:rsidR="00954379" w:rsidRPr="00C754C5" w:rsidSect="003318EE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Medium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3604"/>
    <w:rsid w:val="000D3C7E"/>
    <w:rsid w:val="001022DF"/>
    <w:rsid w:val="00117444"/>
    <w:rsid w:val="00166FE0"/>
    <w:rsid w:val="001D596E"/>
    <w:rsid w:val="0023059C"/>
    <w:rsid w:val="00243E1E"/>
    <w:rsid w:val="00290895"/>
    <w:rsid w:val="002F2DCE"/>
    <w:rsid w:val="0030065C"/>
    <w:rsid w:val="003167B8"/>
    <w:rsid w:val="003229A1"/>
    <w:rsid w:val="00325A8C"/>
    <w:rsid w:val="003318EE"/>
    <w:rsid w:val="00333C38"/>
    <w:rsid w:val="00405A49"/>
    <w:rsid w:val="004477D4"/>
    <w:rsid w:val="00487856"/>
    <w:rsid w:val="0049212B"/>
    <w:rsid w:val="004F06CE"/>
    <w:rsid w:val="004F3B96"/>
    <w:rsid w:val="005719A7"/>
    <w:rsid w:val="005C6DFA"/>
    <w:rsid w:val="0067716F"/>
    <w:rsid w:val="00797C17"/>
    <w:rsid w:val="007B47A9"/>
    <w:rsid w:val="007C4ABB"/>
    <w:rsid w:val="007D0D26"/>
    <w:rsid w:val="00821608"/>
    <w:rsid w:val="008762A3"/>
    <w:rsid w:val="00894196"/>
    <w:rsid w:val="00935DF9"/>
    <w:rsid w:val="00954379"/>
    <w:rsid w:val="0099256E"/>
    <w:rsid w:val="009963EC"/>
    <w:rsid w:val="00A02DF2"/>
    <w:rsid w:val="00A2697E"/>
    <w:rsid w:val="00A8195C"/>
    <w:rsid w:val="00A84E9D"/>
    <w:rsid w:val="00AB4E74"/>
    <w:rsid w:val="00AC0B4E"/>
    <w:rsid w:val="00AE1425"/>
    <w:rsid w:val="00B63926"/>
    <w:rsid w:val="00BA7C8E"/>
    <w:rsid w:val="00C028E8"/>
    <w:rsid w:val="00C105DC"/>
    <w:rsid w:val="00C44A95"/>
    <w:rsid w:val="00C754C5"/>
    <w:rsid w:val="00C77A96"/>
    <w:rsid w:val="00C77F04"/>
    <w:rsid w:val="00CD5723"/>
    <w:rsid w:val="00CF10B1"/>
    <w:rsid w:val="00D32B50"/>
    <w:rsid w:val="00D50628"/>
    <w:rsid w:val="00D91423"/>
    <w:rsid w:val="00DA1D47"/>
    <w:rsid w:val="00DB1487"/>
    <w:rsid w:val="00DC585B"/>
    <w:rsid w:val="00DE4078"/>
    <w:rsid w:val="00E06B77"/>
    <w:rsid w:val="00E07149"/>
    <w:rsid w:val="00E11116"/>
    <w:rsid w:val="00E23604"/>
    <w:rsid w:val="00E26FA4"/>
    <w:rsid w:val="00E42DAA"/>
    <w:rsid w:val="00E43599"/>
    <w:rsid w:val="00E61732"/>
    <w:rsid w:val="00E916A8"/>
    <w:rsid w:val="00ED129E"/>
    <w:rsid w:val="00FB7563"/>
    <w:rsid w:val="00FC4B59"/>
    <w:rsid w:val="00FC6318"/>
    <w:rsid w:val="00FD5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360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269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rsid w:val="002F2DCE"/>
    <w:rPr>
      <w:color w:val="0000FF"/>
      <w:u w:val="single"/>
    </w:rPr>
  </w:style>
  <w:style w:type="paragraph" w:customStyle="1" w:styleId="Tabledate">
    <w:name w:val="Table date"/>
    <w:basedOn w:val="a"/>
    <w:rsid w:val="002F2DCE"/>
    <w:pPr>
      <w:autoSpaceDE w:val="0"/>
      <w:autoSpaceDN w:val="0"/>
      <w:adjustRightInd w:val="0"/>
      <w:spacing w:after="0" w:line="220" w:lineRule="atLeast"/>
      <w:jc w:val="center"/>
      <w:textAlignment w:val="center"/>
    </w:pPr>
    <w:rPr>
      <w:rFonts w:ascii="OfficinaSansMediumC" w:eastAsia="Times New Roman" w:hAnsi="OfficinaSansMediumC" w:cs="OfficinaSansMediumC"/>
      <w:color w:val="000000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1D59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hyperlink" Target="mailto:analitika@bn.ru" TargetMode="Externa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10" Type="http://schemas.openxmlformats.org/officeDocument/2006/relationships/chart" Target="charts/chart7.xml"/><Relationship Id="rId19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_____Microsoft_Office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_____Microsoft_Office_Excel12.xlsx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package" Target="../embeddings/_____Microsoft_Office_Excel13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9"/>
  <c:chart>
    <c:autoTitleDeleted val="1"/>
    <c:plotArea>
      <c:layout>
        <c:manualLayout>
          <c:layoutTarget val="inner"/>
          <c:xMode val="edge"/>
          <c:yMode val="edge"/>
          <c:x val="0.18738551013711671"/>
          <c:y val="4.0564937229197892E-2"/>
          <c:w val="0.76749676392545529"/>
          <c:h val="0.82513554049550064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marker>
            <c:symbol val="none"/>
          </c:marker>
          <c:cat>
            <c:numRef>
              <c:f>Лист1!$A$2:$A$14</c:f>
              <c:numCache>
                <c:formatCode>[$-419]mmmm\ yyyy;@</c:formatCode>
                <c:ptCount val="13"/>
                <c:pt idx="0">
                  <c:v>41153</c:v>
                </c:pt>
                <c:pt idx="1">
                  <c:v>41183</c:v>
                </c:pt>
                <c:pt idx="2">
                  <c:v>41214</c:v>
                </c:pt>
                <c:pt idx="3">
                  <c:v>41244</c:v>
                </c:pt>
                <c:pt idx="4">
                  <c:v>41275</c:v>
                </c:pt>
                <c:pt idx="5">
                  <c:v>41306</c:v>
                </c:pt>
                <c:pt idx="6">
                  <c:v>41334</c:v>
                </c:pt>
                <c:pt idx="7">
                  <c:v>41365</c:v>
                </c:pt>
                <c:pt idx="8">
                  <c:v>41395</c:v>
                </c:pt>
                <c:pt idx="9">
                  <c:v>41426</c:v>
                </c:pt>
                <c:pt idx="10">
                  <c:v>41456</c:v>
                </c:pt>
                <c:pt idx="11">
                  <c:v>41487</c:v>
                </c:pt>
                <c:pt idx="12">
                  <c:v>41518</c:v>
                </c:pt>
              </c:numCache>
            </c:numRef>
          </c:cat>
          <c:val>
            <c:numRef>
              <c:f>Лист1!$B$2:$B$14</c:f>
              <c:numCache>
                <c:formatCode>#,##0</c:formatCode>
                <c:ptCount val="13"/>
                <c:pt idx="0">
                  <c:v>48544.420934855472</c:v>
                </c:pt>
                <c:pt idx="1">
                  <c:v>49624.527454929674</c:v>
                </c:pt>
                <c:pt idx="2">
                  <c:v>50896.663455143571</c:v>
                </c:pt>
                <c:pt idx="3">
                  <c:v>50260.595455036586</c:v>
                </c:pt>
                <c:pt idx="4">
                  <c:v>50793.619874025899</c:v>
                </c:pt>
                <c:pt idx="5">
                  <c:v>51348.942873891698</c:v>
                </c:pt>
                <c:pt idx="6">
                  <c:v>51772.899074088258</c:v>
                </c:pt>
                <c:pt idx="7">
                  <c:v>51972.345479485833</c:v>
                </c:pt>
                <c:pt idx="8">
                  <c:v>52014.608862098248</c:v>
                </c:pt>
                <c:pt idx="9">
                  <c:v>52074.884159897316</c:v>
                </c:pt>
                <c:pt idx="10">
                  <c:v>52534.133920297914</c:v>
                </c:pt>
                <c:pt idx="11">
                  <c:v>52716.25726945934</c:v>
                </c:pt>
                <c:pt idx="12">
                  <c:v>52236.867879799742</c:v>
                </c:pt>
              </c:numCache>
            </c:numRef>
          </c:val>
        </c:ser>
        <c:marker val="1"/>
        <c:axId val="70642304"/>
        <c:axId val="71799552"/>
      </c:lineChart>
      <c:dateAx>
        <c:axId val="70642304"/>
        <c:scaling>
          <c:orientation val="minMax"/>
        </c:scaling>
        <c:axPos val="b"/>
        <c:minorGridlines/>
        <c:numFmt formatCode="mmm\ yy" sourceLinked="0"/>
        <c:tickLblPos val="nextTo"/>
        <c:crossAx val="71799552"/>
        <c:crosses val="autoZero"/>
        <c:auto val="1"/>
        <c:lblOffset val="100"/>
        <c:majorUnit val="3"/>
        <c:majorTimeUnit val="months"/>
      </c:dateAx>
      <c:valAx>
        <c:axId val="71799552"/>
        <c:scaling>
          <c:orientation val="minMax"/>
          <c:max val="60000"/>
          <c:min val="40000"/>
        </c:scaling>
        <c:axPos val="l"/>
        <c:majorGridlines/>
        <c:numFmt formatCode="#,##0" sourceLinked="0"/>
        <c:tickLblPos val="nextTo"/>
        <c:crossAx val="70642304"/>
        <c:crosses val="autoZero"/>
        <c:crossBetween val="between"/>
        <c:majorUnit val="5000"/>
        <c:minorUnit val="400"/>
      </c:valAx>
      <c:spPr>
        <a:noFill/>
      </c:spPr>
    </c:plotArea>
    <c:plotVisOnly val="1"/>
    <c:dispBlanksAs val="gap"/>
  </c:chart>
  <c:externalData r:id="rId1"/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0.1851514808304979"/>
          <c:y val="3.5452410049677092E-3"/>
          <c:w val="0.75214407756828205"/>
          <c:h val="0.83657437533395751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&lt;70</c:v>
                </c:pt>
                <c:pt idx="1">
                  <c:v>70-80</c:v>
                </c:pt>
                <c:pt idx="2">
                  <c:v>80-90</c:v>
                </c:pt>
                <c:pt idx="3">
                  <c:v>90-100</c:v>
                </c:pt>
                <c:pt idx="4">
                  <c:v>100-110</c:v>
                </c:pt>
                <c:pt idx="5">
                  <c:v>&gt;110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6.9767441860465212E-2</c:v>
                </c:pt>
                <c:pt idx="1">
                  <c:v>0.30232558139534993</c:v>
                </c:pt>
                <c:pt idx="2">
                  <c:v>0.11627906976744186</c:v>
                </c:pt>
                <c:pt idx="3">
                  <c:v>0.16279069767441864</c:v>
                </c:pt>
                <c:pt idx="4">
                  <c:v>4.0000000000000022E-2</c:v>
                </c:pt>
                <c:pt idx="5">
                  <c:v>0.30883720930232639</c:v>
                </c:pt>
              </c:numCache>
            </c:numRef>
          </c:val>
        </c:ser>
        <c:axId val="94182784"/>
        <c:axId val="94192768"/>
      </c:barChart>
      <c:catAx>
        <c:axId val="94182784"/>
        <c:scaling>
          <c:orientation val="minMax"/>
        </c:scaling>
        <c:axPos val="l"/>
        <c:minorGridlines/>
        <c:numFmt formatCode="General" sourceLinked="1"/>
        <c:tickLblPos val="nextTo"/>
        <c:crossAx val="94192768"/>
        <c:crosses val="autoZero"/>
        <c:auto val="1"/>
        <c:lblAlgn val="ctr"/>
        <c:lblOffset val="100"/>
      </c:catAx>
      <c:valAx>
        <c:axId val="94192768"/>
        <c:scaling>
          <c:orientation val="minMax"/>
          <c:max val="0.60000000000000064"/>
          <c:min val="0"/>
        </c:scaling>
        <c:axPos val="b"/>
        <c:majorGridlines/>
        <c:numFmt formatCode="0%" sourceLinked="0"/>
        <c:tickLblPos val="nextTo"/>
        <c:crossAx val="94182784"/>
        <c:crosses val="autoZero"/>
        <c:crossBetween val="between"/>
        <c:majorUnit val="0.1"/>
      </c:valAx>
    </c:plotArea>
    <c:plotVisOnly val="1"/>
    <c:dispBlanksAs val="gap"/>
  </c:chart>
  <c:externalData r:id="rId1"/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9"/>
  <c:chart>
    <c:autoTitleDeleted val="1"/>
    <c:plotArea>
      <c:layout>
        <c:manualLayout>
          <c:layoutTarget val="inner"/>
          <c:xMode val="edge"/>
          <c:yMode val="edge"/>
          <c:x val="0.18738551013711671"/>
          <c:y val="4.0564937229197434E-2"/>
          <c:w val="0.76749676392545529"/>
          <c:h val="0.82513554049550064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marker>
            <c:symbol val="none"/>
          </c:marker>
          <c:cat>
            <c:numRef>
              <c:f>Лист1!$A$2:$A$14</c:f>
              <c:numCache>
                <c:formatCode>[$-419]mmmm\ yyyy;@</c:formatCode>
                <c:ptCount val="13"/>
                <c:pt idx="0">
                  <c:v>41153</c:v>
                </c:pt>
                <c:pt idx="1">
                  <c:v>41183</c:v>
                </c:pt>
                <c:pt idx="2">
                  <c:v>41214</c:v>
                </c:pt>
                <c:pt idx="3">
                  <c:v>41244</c:v>
                </c:pt>
                <c:pt idx="4">
                  <c:v>41275</c:v>
                </c:pt>
                <c:pt idx="5">
                  <c:v>41306</c:v>
                </c:pt>
                <c:pt idx="6">
                  <c:v>41334</c:v>
                </c:pt>
                <c:pt idx="7">
                  <c:v>41365</c:v>
                </c:pt>
                <c:pt idx="8">
                  <c:v>41395</c:v>
                </c:pt>
                <c:pt idx="9">
                  <c:v>41426</c:v>
                </c:pt>
                <c:pt idx="10">
                  <c:v>41456</c:v>
                </c:pt>
                <c:pt idx="11">
                  <c:v>41487</c:v>
                </c:pt>
                <c:pt idx="12">
                  <c:v>41518</c:v>
                </c:pt>
              </c:numCache>
            </c:numRef>
          </c:cat>
          <c:val>
            <c:numRef>
              <c:f>Лист1!$B$2:$B$14</c:f>
              <c:numCache>
                <c:formatCode>#,##0</c:formatCode>
                <c:ptCount val="13"/>
                <c:pt idx="0">
                  <c:v>47644.472862971932</c:v>
                </c:pt>
                <c:pt idx="1">
                  <c:v>48561.214279410393</c:v>
                </c:pt>
                <c:pt idx="2">
                  <c:v>49301.548863210766</c:v>
                </c:pt>
                <c:pt idx="3">
                  <c:v>49931.381571310601</c:v>
                </c:pt>
                <c:pt idx="4">
                  <c:v>50594.181688828226</c:v>
                </c:pt>
                <c:pt idx="5">
                  <c:v>51259.713691407676</c:v>
                </c:pt>
                <c:pt idx="6">
                  <c:v>51971.102434280852</c:v>
                </c:pt>
                <c:pt idx="7">
                  <c:v>51694.713460827974</c:v>
                </c:pt>
                <c:pt idx="8">
                  <c:v>51185.596905510974</c:v>
                </c:pt>
                <c:pt idx="9">
                  <c:v>52472.724324657051</c:v>
                </c:pt>
                <c:pt idx="10">
                  <c:v>53991.494182833034</c:v>
                </c:pt>
                <c:pt idx="11">
                  <c:v>54693.572243638497</c:v>
                </c:pt>
                <c:pt idx="12">
                  <c:v>54185.335827650903</c:v>
                </c:pt>
              </c:numCache>
            </c:numRef>
          </c:val>
        </c:ser>
        <c:marker val="1"/>
        <c:axId val="94196096"/>
        <c:axId val="94197632"/>
      </c:lineChart>
      <c:dateAx>
        <c:axId val="94196096"/>
        <c:scaling>
          <c:orientation val="minMax"/>
        </c:scaling>
        <c:axPos val="b"/>
        <c:minorGridlines/>
        <c:numFmt formatCode="mmm\ yy" sourceLinked="0"/>
        <c:tickLblPos val="nextTo"/>
        <c:crossAx val="94197632"/>
        <c:crosses val="autoZero"/>
        <c:auto val="1"/>
        <c:lblOffset val="100"/>
        <c:majorUnit val="3"/>
        <c:majorTimeUnit val="months"/>
      </c:dateAx>
      <c:valAx>
        <c:axId val="94197632"/>
        <c:scaling>
          <c:orientation val="minMax"/>
          <c:max val="60000"/>
          <c:min val="40000"/>
        </c:scaling>
        <c:axPos val="l"/>
        <c:majorGridlines/>
        <c:numFmt formatCode="#,##0" sourceLinked="0"/>
        <c:tickLblPos val="nextTo"/>
        <c:crossAx val="94196096"/>
        <c:crosses val="autoZero"/>
        <c:crossBetween val="between"/>
        <c:majorUnit val="5000"/>
      </c:valAx>
    </c:plotArea>
    <c:plotVisOnly val="1"/>
    <c:dispBlanksAs val="gap"/>
  </c:chart>
  <c:externalData r:id="rId1"/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0.13434433211125082"/>
          <c:y val="4.32379735584935E-2"/>
          <c:w val="0.82324679973830051"/>
          <c:h val="0.8232170978627581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numRef>
              <c:f>Лист1!$A$2:$A$14</c:f>
              <c:numCache>
                <c:formatCode>[$-419]mmmm\ yyyy;@</c:formatCode>
                <c:ptCount val="13"/>
                <c:pt idx="0">
                  <c:v>41153</c:v>
                </c:pt>
                <c:pt idx="1">
                  <c:v>41183</c:v>
                </c:pt>
                <c:pt idx="2">
                  <c:v>41214</c:v>
                </c:pt>
                <c:pt idx="3">
                  <c:v>41244</c:v>
                </c:pt>
                <c:pt idx="4">
                  <c:v>41275</c:v>
                </c:pt>
                <c:pt idx="5">
                  <c:v>41306</c:v>
                </c:pt>
                <c:pt idx="6">
                  <c:v>41334</c:v>
                </c:pt>
                <c:pt idx="7">
                  <c:v>41365</c:v>
                </c:pt>
                <c:pt idx="8">
                  <c:v>41395</c:v>
                </c:pt>
                <c:pt idx="9">
                  <c:v>41426</c:v>
                </c:pt>
                <c:pt idx="10">
                  <c:v>41456</c:v>
                </c:pt>
                <c:pt idx="11">
                  <c:v>41487</c:v>
                </c:pt>
                <c:pt idx="12">
                  <c:v>41518</c:v>
                </c:pt>
              </c:numCache>
            </c:numRef>
          </c:cat>
          <c:val>
            <c:numRef>
              <c:f>Лист1!$B$2:$B$14</c:f>
              <c:numCache>
                <c:formatCode>0.00%</c:formatCode>
                <c:ptCount val="13"/>
                <c:pt idx="0">
                  <c:v>3.961176515749904E-3</c:v>
                </c:pt>
                <c:pt idx="1">
                  <c:v>1.9241296237551667E-2</c:v>
                </c:pt>
                <c:pt idx="2">
                  <c:v>1.5245388625183117E-2</c:v>
                </c:pt>
                <c:pt idx="3">
                  <c:v>1.2775109963529379E-2</c:v>
                </c:pt>
                <c:pt idx="4">
                  <c:v>1.3274219471997473E-2</c:v>
                </c:pt>
                <c:pt idx="5">
                  <c:v>1.3154318942693918E-2</c:v>
                </c:pt>
                <c:pt idx="6">
                  <c:v>1.3878125561837238E-2</c:v>
                </c:pt>
                <c:pt idx="7">
                  <c:v>-5.3181279693336192E-3</c:v>
                </c:pt>
                <c:pt idx="8">
                  <c:v>-9.8485226289679751E-3</c:v>
                </c:pt>
                <c:pt idx="9">
                  <c:v>2.5146281316639207E-2</c:v>
                </c:pt>
                <c:pt idx="10">
                  <c:v>2.8943987142332039E-2</c:v>
                </c:pt>
                <c:pt idx="11">
                  <c:v>1.3003493817524747E-2</c:v>
                </c:pt>
                <c:pt idx="12">
                  <c:v>-9.2924341040223814E-3</c:v>
                </c:pt>
              </c:numCache>
            </c:numRef>
          </c:val>
        </c:ser>
        <c:axId val="147444864"/>
        <c:axId val="147446400"/>
      </c:barChart>
      <c:dateAx>
        <c:axId val="147444864"/>
        <c:scaling>
          <c:orientation val="minMax"/>
        </c:scaling>
        <c:axPos val="b"/>
        <c:minorGridlines/>
        <c:numFmt formatCode="mmm\ yy" sourceLinked="0"/>
        <c:tickLblPos val="nextTo"/>
        <c:crossAx val="147446400"/>
        <c:crosses val="autoZero"/>
        <c:auto val="1"/>
        <c:lblOffset val="100"/>
        <c:majorUnit val="3"/>
        <c:majorTimeUnit val="months"/>
      </c:dateAx>
      <c:valAx>
        <c:axId val="147446400"/>
        <c:scaling>
          <c:orientation val="minMax"/>
        </c:scaling>
        <c:axPos val="l"/>
        <c:majorGridlines/>
        <c:numFmt formatCode="0.0%" sourceLinked="0"/>
        <c:tickLblPos val="nextTo"/>
        <c:crossAx val="147444864"/>
        <c:crosses val="autoZero"/>
        <c:crossBetween val="between"/>
      </c:valAx>
    </c:plotArea>
    <c:plotVisOnly val="1"/>
    <c:dispBlanksAs val="gap"/>
  </c:chart>
  <c:externalData r:id="rId1"/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0.15990721600681851"/>
          <c:y val="6.2548571133922114E-3"/>
          <c:w val="0.77601470657852312"/>
          <c:h val="0.88243851953342245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Лист1!$A$2:$A$8</c:f>
              <c:strCache>
                <c:ptCount val="7"/>
                <c:pt idx="0">
                  <c:v>&lt;40</c:v>
                </c:pt>
                <c:pt idx="1">
                  <c:v>40-45</c:v>
                </c:pt>
                <c:pt idx="2">
                  <c:v>45-50</c:v>
                </c:pt>
                <c:pt idx="3">
                  <c:v>50-55</c:v>
                </c:pt>
                <c:pt idx="4">
                  <c:v>55-60</c:v>
                </c:pt>
                <c:pt idx="5">
                  <c:v>60-65</c:v>
                </c:pt>
                <c:pt idx="6">
                  <c:v>&gt;65</c:v>
                </c:pt>
              </c:strCache>
            </c:strRef>
          </c:cat>
          <c:val>
            <c:numRef>
              <c:f>Лист1!$B$2:$B$8</c:f>
              <c:numCache>
                <c:formatCode>0.00%</c:formatCode>
                <c:ptCount val="7"/>
                <c:pt idx="0">
                  <c:v>2.5000000000000001E-2</c:v>
                </c:pt>
                <c:pt idx="1">
                  <c:v>9.3750000000000194E-2</c:v>
                </c:pt>
                <c:pt idx="2">
                  <c:v>0.10125000000000002</c:v>
                </c:pt>
                <c:pt idx="3">
                  <c:v>0.25624999999999998</c:v>
                </c:pt>
                <c:pt idx="4">
                  <c:v>0.21875000000000022</c:v>
                </c:pt>
                <c:pt idx="5">
                  <c:v>0.17375000000000004</c:v>
                </c:pt>
                <c:pt idx="6">
                  <c:v>0.13125000000000001</c:v>
                </c:pt>
              </c:numCache>
            </c:numRef>
          </c:val>
        </c:ser>
        <c:axId val="147994496"/>
        <c:axId val="147996032"/>
      </c:barChart>
      <c:catAx>
        <c:axId val="147994496"/>
        <c:scaling>
          <c:orientation val="minMax"/>
        </c:scaling>
        <c:axPos val="l"/>
        <c:minorGridlines/>
        <c:numFmt formatCode="General" sourceLinked="1"/>
        <c:tickLblPos val="nextTo"/>
        <c:crossAx val="147996032"/>
        <c:crosses val="autoZero"/>
        <c:auto val="1"/>
        <c:lblAlgn val="ctr"/>
        <c:lblOffset val="100"/>
      </c:catAx>
      <c:valAx>
        <c:axId val="147996032"/>
        <c:scaling>
          <c:orientation val="minMax"/>
        </c:scaling>
        <c:axPos val="b"/>
        <c:majorGridlines/>
        <c:numFmt formatCode="0%" sourceLinked="0"/>
        <c:tickLblPos val="nextTo"/>
        <c:crossAx val="147994496"/>
        <c:crosses val="autoZero"/>
        <c:crossBetween val="between"/>
      </c:valAx>
    </c:plotArea>
    <c:plotVisOnly val="1"/>
    <c:dispBlanksAs val="gap"/>
  </c:chart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0.13434433211125063"/>
          <c:y val="4.32379735584935E-2"/>
          <c:w val="0.82324679973830051"/>
          <c:h val="0.8232170978627586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numRef>
              <c:f>Лист1!$A$2:$A$14</c:f>
              <c:numCache>
                <c:formatCode>[$-419]mmmm\ yyyy;@</c:formatCode>
                <c:ptCount val="13"/>
                <c:pt idx="0">
                  <c:v>41153</c:v>
                </c:pt>
                <c:pt idx="1">
                  <c:v>41183</c:v>
                </c:pt>
                <c:pt idx="2">
                  <c:v>41214</c:v>
                </c:pt>
                <c:pt idx="3">
                  <c:v>41244</c:v>
                </c:pt>
                <c:pt idx="4">
                  <c:v>41275</c:v>
                </c:pt>
                <c:pt idx="5">
                  <c:v>41306</c:v>
                </c:pt>
                <c:pt idx="6">
                  <c:v>41334</c:v>
                </c:pt>
                <c:pt idx="7">
                  <c:v>41365</c:v>
                </c:pt>
                <c:pt idx="8">
                  <c:v>41395</c:v>
                </c:pt>
                <c:pt idx="9">
                  <c:v>41426</c:v>
                </c:pt>
                <c:pt idx="10">
                  <c:v>41456</c:v>
                </c:pt>
                <c:pt idx="11">
                  <c:v>41487</c:v>
                </c:pt>
                <c:pt idx="12">
                  <c:v>41518</c:v>
                </c:pt>
              </c:numCache>
            </c:numRef>
          </c:cat>
          <c:val>
            <c:numRef>
              <c:f>Лист1!$B$2:$B$14</c:f>
              <c:numCache>
                <c:formatCode>0.00%</c:formatCode>
                <c:ptCount val="13"/>
                <c:pt idx="0">
                  <c:v>2.893987245691905E-3</c:v>
                </c:pt>
                <c:pt idx="1">
                  <c:v>2.2249858980163472E-2</c:v>
                </c:pt>
                <c:pt idx="2">
                  <c:v>2.5635226478866915E-2</c:v>
                </c:pt>
                <c:pt idx="3">
                  <c:v>-1.2497243570150994E-2</c:v>
                </c:pt>
                <c:pt idx="4">
                  <c:v>1.0605214963402164E-2</c:v>
                </c:pt>
                <c:pt idx="5">
                  <c:v>1.0932928215060563E-2</c:v>
                </c:pt>
                <c:pt idx="6">
                  <c:v>8.2563764017063012E-3</c:v>
                </c:pt>
                <c:pt idx="7">
                  <c:v>3.8523321846852788E-3</c:v>
                </c:pt>
                <c:pt idx="8">
                  <c:v>8.131898266761084E-4</c:v>
                </c:pt>
                <c:pt idx="9">
                  <c:v>1.1588147852619201E-3</c:v>
                </c:pt>
                <c:pt idx="10">
                  <c:v>8.8190260585219431E-3</c:v>
                </c:pt>
                <c:pt idx="11">
                  <c:v>3.4667621900408277E-3</c:v>
                </c:pt>
                <c:pt idx="12">
                  <c:v>-9.0937675489595228E-3</c:v>
                </c:pt>
              </c:numCache>
            </c:numRef>
          </c:val>
        </c:ser>
        <c:axId val="73471488"/>
        <c:axId val="73554176"/>
      </c:barChart>
      <c:dateAx>
        <c:axId val="73471488"/>
        <c:scaling>
          <c:orientation val="minMax"/>
        </c:scaling>
        <c:axPos val="b"/>
        <c:minorGridlines/>
        <c:numFmt formatCode="mmm\ yy" sourceLinked="0"/>
        <c:tickLblPos val="nextTo"/>
        <c:crossAx val="73554176"/>
        <c:crosses val="autoZero"/>
        <c:auto val="1"/>
        <c:lblOffset val="100"/>
        <c:majorUnit val="3"/>
        <c:majorTimeUnit val="months"/>
      </c:dateAx>
      <c:valAx>
        <c:axId val="73554176"/>
        <c:scaling>
          <c:orientation val="minMax"/>
        </c:scaling>
        <c:axPos val="l"/>
        <c:majorGridlines/>
        <c:numFmt formatCode="0.0%" sourceLinked="0"/>
        <c:tickLblPos val="nextTo"/>
        <c:crossAx val="73471488"/>
        <c:crosses val="autoZero"/>
        <c:crossBetween val="between"/>
      </c:valAx>
    </c:plotArea>
    <c:plotVisOnly val="1"/>
    <c:dispBlanksAs val="gap"/>
  </c:chart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0.15990721600681829"/>
          <c:y val="0"/>
          <c:w val="0.77601470657852256"/>
          <c:h val="0.88243851953342245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Лист1!$A$2:$A$9</c:f>
              <c:strCache>
                <c:ptCount val="8"/>
                <c:pt idx="0">
                  <c:v>&lt;35</c:v>
                </c:pt>
                <c:pt idx="1">
                  <c:v>35-40</c:v>
                </c:pt>
                <c:pt idx="2">
                  <c:v>40-45</c:v>
                </c:pt>
                <c:pt idx="3">
                  <c:v>45-50</c:v>
                </c:pt>
                <c:pt idx="4">
                  <c:v>50-55</c:v>
                </c:pt>
                <c:pt idx="5">
                  <c:v>55-60</c:v>
                </c:pt>
                <c:pt idx="6">
                  <c:v>60-65</c:v>
                </c:pt>
                <c:pt idx="7">
                  <c:v>&gt;65</c:v>
                </c:pt>
              </c:strCache>
            </c:strRef>
          </c:cat>
          <c:val>
            <c:numRef>
              <c:f>Лист1!$B$2:$B$9</c:f>
              <c:numCache>
                <c:formatCode>0.00%</c:formatCode>
                <c:ptCount val="8"/>
                <c:pt idx="0">
                  <c:v>3.8926174496644289E-2</c:v>
                </c:pt>
                <c:pt idx="1">
                  <c:v>2.4161073825503393E-2</c:v>
                </c:pt>
                <c:pt idx="2">
                  <c:v>8.9932885906040427E-2</c:v>
                </c:pt>
                <c:pt idx="3">
                  <c:v>0.20805369127516779</c:v>
                </c:pt>
                <c:pt idx="4">
                  <c:v>0.29530201342281936</c:v>
                </c:pt>
                <c:pt idx="5">
                  <c:v>0.20402684563758389</c:v>
                </c:pt>
                <c:pt idx="6">
                  <c:v>7.3825503355704702E-2</c:v>
                </c:pt>
                <c:pt idx="7">
                  <c:v>6.5771812080536909E-2</c:v>
                </c:pt>
              </c:numCache>
            </c:numRef>
          </c:val>
        </c:ser>
        <c:axId val="73950336"/>
        <c:axId val="74009216"/>
      </c:barChart>
      <c:catAx>
        <c:axId val="73950336"/>
        <c:scaling>
          <c:orientation val="minMax"/>
        </c:scaling>
        <c:axPos val="l"/>
        <c:minorGridlines/>
        <c:numFmt formatCode="General" sourceLinked="1"/>
        <c:tickLblPos val="nextTo"/>
        <c:crossAx val="74009216"/>
        <c:crosses val="autoZero"/>
        <c:auto val="1"/>
        <c:lblAlgn val="ctr"/>
        <c:lblOffset val="100"/>
      </c:catAx>
      <c:valAx>
        <c:axId val="74009216"/>
        <c:scaling>
          <c:orientation val="minMax"/>
        </c:scaling>
        <c:axPos val="b"/>
        <c:majorGridlines/>
        <c:numFmt formatCode="0%" sourceLinked="0"/>
        <c:tickLblPos val="nextTo"/>
        <c:crossAx val="73950336"/>
        <c:crosses val="autoZero"/>
        <c:crossBetween val="between"/>
      </c:valAx>
    </c:plotArea>
    <c:plotVisOnly val="1"/>
    <c:dispBlanksAs val="gap"/>
  </c:chart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9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7.2515363654196793E-2"/>
          <c:y val="0.22940743244266035"/>
          <c:w val="0.81167499476802363"/>
          <c:h val="0.7557963645065172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4.2594394142241858E-2"/>
                  <c:y val="-8.8242858531572752E-2"/>
                </c:manualLayout>
              </c:layout>
              <c:dLblPos val="bestFit"/>
              <c:showVal val="1"/>
              <c:showCatName val="1"/>
            </c:dLbl>
            <c:dLbl>
              <c:idx val="1"/>
              <c:layout>
                <c:manualLayout>
                  <c:x val="-1.6287138324789181E-2"/>
                  <c:y val="-0.22164285019928071"/>
                </c:manualLayout>
              </c:layout>
              <c:dLblPos val="bestFit"/>
              <c:showVal val="1"/>
              <c:showCatName val="1"/>
            </c:dLbl>
            <c:dLbl>
              <c:idx val="2"/>
              <c:layout>
                <c:manualLayout>
                  <c:x val="0.14631519844888274"/>
                  <c:y val="5.221958366315322E-2"/>
                </c:manualLayout>
              </c:layout>
              <c:dLblPos val="bestFit"/>
              <c:showVal val="1"/>
              <c:showCatName val="1"/>
            </c:dLbl>
            <c:dLbl>
              <c:idx val="3"/>
              <c:layout>
                <c:manualLayout>
                  <c:x val="4.5640311971924294E-2"/>
                  <c:y val="-1.8030132458794857E-2"/>
                </c:manualLayout>
              </c:layout>
              <c:dLblPos val="bestFit"/>
              <c:showVal val="1"/>
              <c:showCatName val="1"/>
            </c:dLbl>
            <c:dLbl>
              <c:idx val="4"/>
              <c:layout>
                <c:manualLayout>
                  <c:x val="9.6866827550668763E-2"/>
                  <c:y val="1.7485207249834801E-2"/>
                </c:manualLayout>
              </c:layout>
              <c:dLblPos val="bestFit"/>
              <c:showVal val="1"/>
              <c:showCatName val="1"/>
            </c:dLbl>
            <c:showVal val="1"/>
            <c:showCatName val="1"/>
          </c:dLbls>
          <c:cat>
            <c:strRef>
              <c:f>Лист1!$A$2:$A$5</c:f>
              <c:strCache>
                <c:ptCount val="4"/>
                <c:pt idx="0">
                  <c:v>1ккв</c:v>
                </c:pt>
                <c:pt idx="1">
                  <c:v>2ккв</c:v>
                </c:pt>
                <c:pt idx="2">
                  <c:v>3ккв</c:v>
                </c:pt>
                <c:pt idx="3">
                  <c:v>&gt;3ккв</c:v>
                </c:pt>
              </c:strCache>
            </c:strRef>
          </c:cat>
          <c:val>
            <c:numRef>
              <c:f>Лист1!$B$2:$B$5</c:f>
              <c:numCache>
                <c:formatCode>0.00%</c:formatCode>
                <c:ptCount val="4"/>
                <c:pt idx="0">
                  <c:v>0.33165137614678897</c:v>
                </c:pt>
                <c:pt idx="1">
                  <c:v>0.35045871559633035</c:v>
                </c:pt>
                <c:pt idx="2">
                  <c:v>0.25642201834862388</c:v>
                </c:pt>
                <c:pt idx="3">
                  <c:v>6.1467889908256912E-2</c:v>
                </c:pt>
              </c:numCache>
            </c:numRef>
          </c:val>
        </c:ser>
      </c:pie3DChart>
    </c:plotArea>
    <c:plotVisOnly val="1"/>
    <c:dispBlanksAs val="zero"/>
  </c:chart>
  <c:externalData r:id="rId1"/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9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6.7844988472938864E-2"/>
          <c:y val="0.23646837217939537"/>
          <c:w val="0.81167499476802363"/>
          <c:h val="0.7557963645065174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0.19751186103509441"/>
                  <c:y val="6.1057367829021637E-2"/>
                </c:manualLayout>
              </c:layout>
              <c:dLblPos val="bestFit"/>
              <c:showVal val="1"/>
              <c:showCatName val="1"/>
            </c:dLbl>
            <c:dLbl>
              <c:idx val="1"/>
              <c:layout>
                <c:manualLayout>
                  <c:x val="5.0077574542323533E-2"/>
                  <c:y val="-0.21786554458470508"/>
                </c:manualLayout>
              </c:layout>
              <c:dLblPos val="bestFit"/>
              <c:showVal val="1"/>
              <c:showCatName val="1"/>
            </c:dLbl>
            <c:dLbl>
              <c:idx val="2"/>
              <c:layout>
                <c:manualLayout>
                  <c:x val="0.16290918421738387"/>
                  <c:y val="3.8983460400783244E-2"/>
                </c:manualLayout>
              </c:layout>
              <c:dLblPos val="bestFit"/>
              <c:showVal val="1"/>
              <c:showCatName val="1"/>
            </c:dLbl>
            <c:dLbl>
              <c:idx val="3"/>
              <c:layout>
                <c:manualLayout>
                  <c:x val="1.3913293259813241E-2"/>
                  <c:y val="-1.8029709872901808E-2"/>
                </c:manualLayout>
              </c:layout>
              <c:dLblPos val="bestFit"/>
              <c:showVal val="1"/>
              <c:showCatName val="1"/>
            </c:dLbl>
            <c:dLbl>
              <c:idx val="4"/>
              <c:layout>
                <c:manualLayout>
                  <c:x val="6.0634344721931493E-2"/>
                  <c:y val="1.7485228660027503E-2"/>
                </c:manualLayout>
              </c:layout>
              <c:dLblPos val="bestFit"/>
              <c:showVal val="1"/>
              <c:showCatName val="1"/>
            </c:dLbl>
            <c:showVal val="1"/>
            <c:showCatName val="1"/>
          </c:dLbls>
          <c:cat>
            <c:strRef>
              <c:f>Лист1!$A$2:$A$5</c:f>
              <c:strCache>
                <c:ptCount val="4"/>
                <c:pt idx="0">
                  <c:v>1ккв</c:v>
                </c:pt>
                <c:pt idx="1">
                  <c:v>2ккв</c:v>
                </c:pt>
                <c:pt idx="2">
                  <c:v>3ккв</c:v>
                </c:pt>
                <c:pt idx="3">
                  <c:v>&gt;3ккв</c:v>
                </c:pt>
              </c:strCache>
            </c:strRef>
          </c:cat>
          <c:val>
            <c:numRef>
              <c:f>Лист1!$B$2:$B$5</c:f>
              <c:numCache>
                <c:formatCode>0.00%</c:formatCode>
                <c:ptCount val="4"/>
                <c:pt idx="0">
                  <c:v>0.31858407079646101</c:v>
                </c:pt>
                <c:pt idx="1">
                  <c:v>0.35988200589970609</c:v>
                </c:pt>
                <c:pt idx="2">
                  <c:v>0.25811209439528032</c:v>
                </c:pt>
                <c:pt idx="3">
                  <c:v>6.3421828908554495E-2</c:v>
                </c:pt>
              </c:numCache>
            </c:numRef>
          </c:val>
        </c:ser>
      </c:pie3DChart>
    </c:plotArea>
    <c:plotVisOnly val="1"/>
    <c:dispBlanksAs val="zero"/>
  </c:chart>
  <c:externalData r:id="rId1"/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1"/>
  <c:chart>
    <c:plotArea>
      <c:layout>
        <c:manualLayout>
          <c:layoutTarget val="inner"/>
          <c:xMode val="edge"/>
          <c:yMode val="edge"/>
          <c:x val="0.19495227615600244"/>
          <c:y val="4.2530948144567364E-2"/>
          <c:w val="0.75713131357498809"/>
          <c:h val="0.8170008878280236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1ккв</c:v>
                </c:pt>
              </c:strCache>
            </c:strRef>
          </c:tx>
          <c:marker>
            <c:symbol val="none"/>
          </c:marker>
          <c:cat>
            <c:numRef>
              <c:f>Лист1!$A$2:$A$14</c:f>
              <c:numCache>
                <c:formatCode>[$-419]mmmm\ yyyy;@</c:formatCode>
                <c:ptCount val="13"/>
                <c:pt idx="0">
                  <c:v>41153</c:v>
                </c:pt>
                <c:pt idx="1">
                  <c:v>41183</c:v>
                </c:pt>
                <c:pt idx="2">
                  <c:v>41214</c:v>
                </c:pt>
                <c:pt idx="3">
                  <c:v>41244</c:v>
                </c:pt>
                <c:pt idx="4">
                  <c:v>41275</c:v>
                </c:pt>
                <c:pt idx="5">
                  <c:v>41306</c:v>
                </c:pt>
                <c:pt idx="6">
                  <c:v>41334</c:v>
                </c:pt>
                <c:pt idx="7">
                  <c:v>41365</c:v>
                </c:pt>
                <c:pt idx="8">
                  <c:v>41395</c:v>
                </c:pt>
                <c:pt idx="9">
                  <c:v>41426</c:v>
                </c:pt>
                <c:pt idx="10">
                  <c:v>41456</c:v>
                </c:pt>
                <c:pt idx="11">
                  <c:v>41487</c:v>
                </c:pt>
                <c:pt idx="12">
                  <c:v>41518</c:v>
                </c:pt>
              </c:numCache>
            </c:numRef>
          </c:cat>
          <c:val>
            <c:numRef>
              <c:f>Лист1!$B$2:$B$14</c:f>
              <c:numCache>
                <c:formatCode>#,##0</c:formatCode>
                <c:ptCount val="13"/>
                <c:pt idx="0">
                  <c:v>50459.04739566952</c:v>
                </c:pt>
                <c:pt idx="1">
                  <c:v>52003.728555184898</c:v>
                </c:pt>
                <c:pt idx="2">
                  <c:v>52887.338519942867</c:v>
                </c:pt>
                <c:pt idx="3">
                  <c:v>52445.533537563824</c:v>
                </c:pt>
                <c:pt idx="4">
                  <c:v>52955.44822437776</c:v>
                </c:pt>
                <c:pt idx="5">
                  <c:v>53415.839261559675</c:v>
                </c:pt>
                <c:pt idx="6">
                  <c:v>54966.268070412028</c:v>
                </c:pt>
                <c:pt idx="7">
                  <c:v>55318.932398167672</c:v>
                </c:pt>
                <c:pt idx="8">
                  <c:v>55264.844948620892</c:v>
                </c:pt>
                <c:pt idx="9">
                  <c:v>55639.679534491792</c:v>
                </c:pt>
                <c:pt idx="10">
                  <c:v>56160.442481637365</c:v>
                </c:pt>
                <c:pt idx="11">
                  <c:v>56144.043969009705</c:v>
                </c:pt>
                <c:pt idx="12">
                  <c:v>55718.622482273175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2ккв</c:v>
                </c:pt>
              </c:strCache>
            </c:strRef>
          </c:tx>
          <c:marker>
            <c:symbol val="none"/>
          </c:marker>
          <c:cat>
            <c:numRef>
              <c:f>Лист1!$A$2:$A$14</c:f>
              <c:numCache>
                <c:formatCode>[$-419]mmmm\ yyyy;@</c:formatCode>
                <c:ptCount val="13"/>
                <c:pt idx="0">
                  <c:v>41153</c:v>
                </c:pt>
                <c:pt idx="1">
                  <c:v>41183</c:v>
                </c:pt>
                <c:pt idx="2">
                  <c:v>41214</c:v>
                </c:pt>
                <c:pt idx="3">
                  <c:v>41244</c:v>
                </c:pt>
                <c:pt idx="4">
                  <c:v>41275</c:v>
                </c:pt>
                <c:pt idx="5">
                  <c:v>41306</c:v>
                </c:pt>
                <c:pt idx="6">
                  <c:v>41334</c:v>
                </c:pt>
                <c:pt idx="7">
                  <c:v>41365</c:v>
                </c:pt>
                <c:pt idx="8">
                  <c:v>41395</c:v>
                </c:pt>
                <c:pt idx="9">
                  <c:v>41426</c:v>
                </c:pt>
                <c:pt idx="10">
                  <c:v>41456</c:v>
                </c:pt>
                <c:pt idx="11">
                  <c:v>41487</c:v>
                </c:pt>
                <c:pt idx="12">
                  <c:v>41518</c:v>
                </c:pt>
              </c:numCache>
            </c:numRef>
          </c:cat>
          <c:val>
            <c:numRef>
              <c:f>Лист1!$C$2:$C$14</c:f>
              <c:numCache>
                <c:formatCode>#,##0</c:formatCode>
                <c:ptCount val="13"/>
                <c:pt idx="0">
                  <c:v>48974.148912010372</c:v>
                </c:pt>
                <c:pt idx="1">
                  <c:v>50003.728350269186</c:v>
                </c:pt>
                <c:pt idx="2">
                  <c:v>51238.019664229709</c:v>
                </c:pt>
                <c:pt idx="3">
                  <c:v>50620.874007249535</c:v>
                </c:pt>
                <c:pt idx="4">
                  <c:v>51600.86483730757</c:v>
                </c:pt>
                <c:pt idx="5">
                  <c:v>51579.128856263</c:v>
                </c:pt>
                <c:pt idx="6">
                  <c:v>50616.665250318634</c:v>
                </c:pt>
                <c:pt idx="7">
                  <c:v>50792.46644059712</c:v>
                </c:pt>
                <c:pt idx="8">
                  <c:v>50741.999004990103</c:v>
                </c:pt>
                <c:pt idx="9">
                  <c:v>50915.448176196791</c:v>
                </c:pt>
                <c:pt idx="10">
                  <c:v>51323.603749761656</c:v>
                </c:pt>
                <c:pt idx="11">
                  <c:v>51369.961462485182</c:v>
                </c:pt>
                <c:pt idx="12">
                  <c:v>50894.305188753504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3ккв</c:v>
                </c:pt>
              </c:strCache>
            </c:strRef>
          </c:tx>
          <c:marker>
            <c:symbol val="none"/>
          </c:marker>
          <c:cat>
            <c:numRef>
              <c:f>Лист1!$A$2:$A$14</c:f>
              <c:numCache>
                <c:formatCode>[$-419]mmmm\ yyyy;@</c:formatCode>
                <c:ptCount val="13"/>
                <c:pt idx="0">
                  <c:v>41153</c:v>
                </c:pt>
                <c:pt idx="1">
                  <c:v>41183</c:v>
                </c:pt>
                <c:pt idx="2">
                  <c:v>41214</c:v>
                </c:pt>
                <c:pt idx="3">
                  <c:v>41244</c:v>
                </c:pt>
                <c:pt idx="4">
                  <c:v>41275</c:v>
                </c:pt>
                <c:pt idx="5">
                  <c:v>41306</c:v>
                </c:pt>
                <c:pt idx="6">
                  <c:v>41334</c:v>
                </c:pt>
                <c:pt idx="7">
                  <c:v>41365</c:v>
                </c:pt>
                <c:pt idx="8">
                  <c:v>41395</c:v>
                </c:pt>
                <c:pt idx="9">
                  <c:v>41426</c:v>
                </c:pt>
                <c:pt idx="10">
                  <c:v>41456</c:v>
                </c:pt>
                <c:pt idx="11">
                  <c:v>41487</c:v>
                </c:pt>
                <c:pt idx="12">
                  <c:v>41518</c:v>
                </c:pt>
              </c:numCache>
            </c:numRef>
          </c:cat>
          <c:val>
            <c:numRef>
              <c:f>Лист1!$D$2:$D$14</c:f>
              <c:numCache>
                <c:formatCode>#,##0</c:formatCode>
                <c:ptCount val="13"/>
                <c:pt idx="0">
                  <c:v>46976.491648173585</c:v>
                </c:pt>
                <c:pt idx="1">
                  <c:v>48168.553529020202</c:v>
                </c:pt>
                <c:pt idx="2">
                  <c:v>49588.617585706656</c:v>
                </c:pt>
                <c:pt idx="3">
                  <c:v>48878.585557363433</c:v>
                </c:pt>
                <c:pt idx="4">
                  <c:v>49308.543757644031</c:v>
                </c:pt>
                <c:pt idx="5">
                  <c:v>49345.079032048699</c:v>
                </c:pt>
                <c:pt idx="6">
                  <c:v>49344.834222160032</c:v>
                </c:pt>
                <c:pt idx="7">
                  <c:v>49835.592740623542</c:v>
                </c:pt>
                <c:pt idx="8">
                  <c:v>49764.214703725534</c:v>
                </c:pt>
                <c:pt idx="9">
                  <c:v>49817.418499208616</c:v>
                </c:pt>
                <c:pt idx="10">
                  <c:v>50904.063076646918</c:v>
                </c:pt>
                <c:pt idx="11">
                  <c:v>51184.998752358602</c:v>
                </c:pt>
                <c:pt idx="12">
                  <c:v>51318.923120810658</c:v>
                </c:pt>
              </c:numCache>
            </c:numRef>
          </c:val>
        </c:ser>
        <c:marker val="1"/>
        <c:axId val="147283328"/>
        <c:axId val="147399808"/>
      </c:lineChart>
      <c:dateAx>
        <c:axId val="147283328"/>
        <c:scaling>
          <c:orientation val="minMax"/>
        </c:scaling>
        <c:axPos val="b"/>
        <c:minorGridlines/>
        <c:numFmt formatCode="mmm\ yy" sourceLinked="0"/>
        <c:tickLblPos val="nextTo"/>
        <c:crossAx val="147399808"/>
        <c:crosses val="autoZero"/>
        <c:auto val="1"/>
        <c:lblOffset val="100"/>
        <c:majorUnit val="3"/>
        <c:majorTimeUnit val="months"/>
      </c:dateAx>
      <c:valAx>
        <c:axId val="147399808"/>
        <c:scaling>
          <c:orientation val="minMax"/>
          <c:max val="60000"/>
          <c:min val="40000"/>
        </c:scaling>
        <c:axPos val="l"/>
        <c:majorGridlines/>
        <c:numFmt formatCode="#,##0" sourceLinked="0"/>
        <c:tickLblPos val="nextTo"/>
        <c:crossAx val="147283328"/>
        <c:crosses val="autoZero"/>
        <c:crossBetween val="between"/>
        <c:majorUnit val="5000"/>
      </c:valAx>
    </c:plotArea>
    <c:legend>
      <c:legendPos val="r"/>
      <c:layout>
        <c:manualLayout>
          <c:xMode val="edge"/>
          <c:yMode val="edge"/>
          <c:x val="0.71639566526576814"/>
          <c:y val="0.57780681260996325"/>
          <c:w val="0.20258345007487571"/>
          <c:h val="0.25578379625623715"/>
        </c:manualLayout>
      </c:layout>
    </c:legend>
    <c:plotVisOnly val="1"/>
    <c:dispBlanksAs val="gap"/>
  </c:chart>
  <c:externalData r:id="rId1"/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0.18515148083049765"/>
          <c:y val="3.5452410049677092E-3"/>
          <c:w val="0.75214407756828094"/>
          <c:h val="0.83657437533395751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&lt;30</c:v>
                </c:pt>
                <c:pt idx="1">
                  <c:v>30-35</c:v>
                </c:pt>
                <c:pt idx="2">
                  <c:v>35-40</c:v>
                </c:pt>
                <c:pt idx="3">
                  <c:v>40-45</c:v>
                </c:pt>
                <c:pt idx="4">
                  <c:v>45-50</c:v>
                </c:pt>
                <c:pt idx="5">
                  <c:v>&gt;50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0.14468085106382977</c:v>
                </c:pt>
                <c:pt idx="1">
                  <c:v>0.37446808510638346</c:v>
                </c:pt>
                <c:pt idx="2">
                  <c:v>0.32340425531914979</c:v>
                </c:pt>
                <c:pt idx="3">
                  <c:v>0.11063829787234038</c:v>
                </c:pt>
                <c:pt idx="4">
                  <c:v>3.4042553191489362E-2</c:v>
                </c:pt>
                <c:pt idx="5">
                  <c:v>1.2765957446808526E-2</c:v>
                </c:pt>
              </c:numCache>
            </c:numRef>
          </c:val>
        </c:ser>
        <c:axId val="112837760"/>
        <c:axId val="112839296"/>
      </c:barChart>
      <c:catAx>
        <c:axId val="112837760"/>
        <c:scaling>
          <c:orientation val="minMax"/>
        </c:scaling>
        <c:axPos val="l"/>
        <c:minorGridlines/>
        <c:numFmt formatCode="General" sourceLinked="1"/>
        <c:tickLblPos val="nextTo"/>
        <c:crossAx val="112839296"/>
        <c:crosses val="autoZero"/>
        <c:auto val="1"/>
        <c:lblAlgn val="ctr"/>
        <c:lblOffset val="100"/>
      </c:catAx>
      <c:valAx>
        <c:axId val="112839296"/>
        <c:scaling>
          <c:orientation val="minMax"/>
        </c:scaling>
        <c:axPos val="b"/>
        <c:majorGridlines/>
        <c:numFmt formatCode="0%" sourceLinked="0"/>
        <c:tickLblPos val="nextTo"/>
        <c:crossAx val="112837760"/>
        <c:crosses val="autoZero"/>
        <c:crossBetween val="between"/>
        <c:majorUnit val="0.1"/>
      </c:valAx>
    </c:plotArea>
    <c:plotVisOnly val="1"/>
    <c:dispBlanksAs val="gap"/>
  </c:chart>
  <c:externalData r:id="rId1"/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0.18515148083049779"/>
          <c:y val="3.5452410049677092E-3"/>
          <c:w val="0.7521440775682815"/>
          <c:h val="0.83657437533395751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&lt;40</c:v>
                </c:pt>
                <c:pt idx="1">
                  <c:v>40-50</c:v>
                </c:pt>
                <c:pt idx="2">
                  <c:v>50-60</c:v>
                </c:pt>
                <c:pt idx="3">
                  <c:v>60-70</c:v>
                </c:pt>
                <c:pt idx="4">
                  <c:v>70-80</c:v>
                </c:pt>
                <c:pt idx="5">
                  <c:v>&gt;80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4.0441176470588168E-2</c:v>
                </c:pt>
                <c:pt idx="1">
                  <c:v>0.58088235294117652</c:v>
                </c:pt>
                <c:pt idx="2">
                  <c:v>0.27205882352941224</c:v>
                </c:pt>
                <c:pt idx="3">
                  <c:v>4.7794117647058834E-2</c:v>
                </c:pt>
                <c:pt idx="4">
                  <c:v>2.2058823529411808E-2</c:v>
                </c:pt>
                <c:pt idx="5">
                  <c:v>3.6764705882352942E-2</c:v>
                </c:pt>
              </c:numCache>
            </c:numRef>
          </c:val>
        </c:ser>
        <c:axId val="116230016"/>
        <c:axId val="116231552"/>
      </c:barChart>
      <c:catAx>
        <c:axId val="116230016"/>
        <c:scaling>
          <c:orientation val="minMax"/>
        </c:scaling>
        <c:axPos val="l"/>
        <c:minorGridlines/>
        <c:numFmt formatCode="General" sourceLinked="1"/>
        <c:tickLblPos val="nextTo"/>
        <c:crossAx val="116231552"/>
        <c:crosses val="autoZero"/>
        <c:auto val="1"/>
        <c:lblAlgn val="ctr"/>
        <c:lblOffset val="100"/>
      </c:catAx>
      <c:valAx>
        <c:axId val="116231552"/>
        <c:scaling>
          <c:orientation val="minMax"/>
        </c:scaling>
        <c:axPos val="b"/>
        <c:majorGridlines/>
        <c:numFmt formatCode="0%" sourceLinked="0"/>
        <c:tickLblPos val="nextTo"/>
        <c:crossAx val="116230016"/>
        <c:crosses val="autoZero"/>
        <c:crossBetween val="between"/>
        <c:majorUnit val="0.1"/>
      </c:valAx>
    </c:plotArea>
    <c:plotVisOnly val="1"/>
    <c:dispBlanksAs val="gap"/>
  </c:chart>
  <c:externalData r:id="rId1"/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0.18515148083049779"/>
          <c:y val="3.5452410049677092E-3"/>
          <c:w val="0.7521440775682815"/>
          <c:h val="0.83657437533395751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&lt;50</c:v>
                </c:pt>
                <c:pt idx="1">
                  <c:v>50-60</c:v>
                </c:pt>
                <c:pt idx="2">
                  <c:v>60-70</c:v>
                </c:pt>
                <c:pt idx="3">
                  <c:v>70-80</c:v>
                </c:pt>
                <c:pt idx="4">
                  <c:v>80-90</c:v>
                </c:pt>
                <c:pt idx="5">
                  <c:v>&gt;90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3.6458333333333336E-2</c:v>
                </c:pt>
                <c:pt idx="1">
                  <c:v>0.22395833333333356</c:v>
                </c:pt>
                <c:pt idx="2">
                  <c:v>0.42187500000000039</c:v>
                </c:pt>
                <c:pt idx="3">
                  <c:v>0.13020833333333356</c:v>
                </c:pt>
                <c:pt idx="4">
                  <c:v>0.1093750000000001</c:v>
                </c:pt>
                <c:pt idx="5">
                  <c:v>7.8125E-2</c:v>
                </c:pt>
              </c:numCache>
            </c:numRef>
          </c:val>
        </c:ser>
        <c:axId val="147434112"/>
        <c:axId val="94175616"/>
      </c:barChart>
      <c:catAx>
        <c:axId val="147434112"/>
        <c:scaling>
          <c:orientation val="minMax"/>
        </c:scaling>
        <c:axPos val="l"/>
        <c:minorGridlines/>
        <c:numFmt formatCode="General" sourceLinked="1"/>
        <c:tickLblPos val="nextTo"/>
        <c:crossAx val="94175616"/>
        <c:crosses val="autoZero"/>
        <c:auto val="1"/>
        <c:lblAlgn val="ctr"/>
        <c:lblOffset val="100"/>
      </c:catAx>
      <c:valAx>
        <c:axId val="94175616"/>
        <c:scaling>
          <c:orientation val="minMax"/>
        </c:scaling>
        <c:axPos val="b"/>
        <c:majorGridlines/>
        <c:numFmt formatCode="0%" sourceLinked="0"/>
        <c:tickLblPos val="nextTo"/>
        <c:crossAx val="147434112"/>
        <c:crosses val="autoZero"/>
        <c:crossBetween val="between"/>
        <c:majorUnit val="0.1"/>
      </c:valAx>
    </c:plotArea>
    <c:plotVisOnly val="1"/>
    <c:dispBlanksAs val="gap"/>
  </c:chart>
  <c:externalData r:id="rId1"/>
  <c:userShapes r:id="rId2"/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drawings/_rels/drawing10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rawings/_rels/drawing1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drawings/_rels/drawing12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drawings/_rels/drawing13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drawing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drawings/_rels/drawing3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drawings/_rels/drawing4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rawings/_rels/drawing5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rawings/_rels/drawing6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rawings/_rels/drawing7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rawings/_rels/drawing8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rawings/_rels/drawing9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0.16284</cdr:x>
      <cdr:y>0.00037</cdr:y>
    </cdr:from>
    <cdr:to>
      <cdr:x>0.37209</cdr:x>
      <cdr:y>0.12387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504351" y="666"/>
          <a:ext cx="648076" cy="22231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0.73932</cdr:x>
      <cdr:y>0</cdr:y>
    </cdr:from>
    <cdr:to>
      <cdr:x>0.93646</cdr:x>
      <cdr:y>0.11538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448272" y="-72008"/>
          <a:ext cx="652834" cy="2160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0.16284</cdr:x>
      <cdr:y>0.00037</cdr:y>
    </cdr:from>
    <cdr:to>
      <cdr:x>0.37209</cdr:x>
      <cdr:y>0.12387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504351" y="666"/>
          <a:ext cx="648076" cy="22231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0.11111</cdr:x>
      <cdr:y>0</cdr:y>
    </cdr:from>
    <cdr:to>
      <cdr:x>0.31096</cdr:x>
      <cdr:y>0.12181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360006" y="0"/>
          <a:ext cx="647535" cy="21929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0.72787</cdr:x>
      <cdr:y>0</cdr:y>
    </cdr:from>
    <cdr:to>
      <cdr:x>0.94608</cdr:x>
      <cdr:y>0.12704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306372" y="0"/>
          <a:ext cx="691424" cy="23797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0.77767</cdr:x>
      <cdr:y>0</cdr:y>
    </cdr:from>
    <cdr:to>
      <cdr:x>0.97752</cdr:x>
      <cdr:y>0.12181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519709" y="-72355"/>
          <a:ext cx="647531" cy="21928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0.72787</cdr:x>
      <cdr:y>0</cdr:y>
    </cdr:from>
    <cdr:to>
      <cdr:x>0.94608</cdr:x>
      <cdr:y>0.12704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306372" y="0"/>
          <a:ext cx="691424" cy="23797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3.38849E-7</cdr:x>
      <cdr:y>0</cdr:y>
    </cdr:from>
    <cdr:to>
      <cdr:x>0.21936</cdr:x>
      <cdr:y>0.12167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1" y="0"/>
          <a:ext cx="647352" cy="21895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  <cdr:relSizeAnchor xmlns:cdr="http://schemas.openxmlformats.org/drawingml/2006/chartDrawing">
    <cdr:from>
      <cdr:x>0.73164</cdr:x>
      <cdr:y>0.75993</cdr:y>
    </cdr:from>
    <cdr:to>
      <cdr:x>1</cdr:x>
      <cdr:y>0.98219</cdr:y>
    </cdr:to>
    <cdr:sp macro="" textlink="">
      <cdr:nvSpPr>
        <cdr:cNvPr id="3" name="Прямоугольник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59189" y="1368045"/>
          <a:ext cx="791974" cy="40011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>
          <a:spAutoFit/>
        </a:bodyPr>
        <a:lstStyle xmlns:a="http://schemas.openxmlformats.org/drawingml/2006/main">
          <a:defPPr>
            <a:defRPr lang="en-US"/>
          </a:defPPr>
          <a:lvl1pPr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rgbClr val="000000"/>
              </a:solidFill>
              <a:latin typeface="Arial" charset="0"/>
            </a:defRPr>
          </a:lvl1pPr>
          <a:lvl2pPr marL="457200"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rgbClr val="000000"/>
              </a:solidFill>
              <a:latin typeface="Arial" charset="0"/>
            </a:defRPr>
          </a:lvl2pPr>
          <a:lvl3pPr marL="914400"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rgbClr val="000000"/>
              </a:solidFill>
              <a:latin typeface="Arial" charset="0"/>
            </a:defRPr>
          </a:lvl3pPr>
          <a:lvl4pPr marL="1371600"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rgbClr val="000000"/>
              </a:solidFill>
              <a:latin typeface="Arial" charset="0"/>
            </a:defRPr>
          </a:lvl4pPr>
          <a:lvl5pPr marL="1828800" algn="l" rtl="0" fontAlgn="base">
            <a:spcBef>
              <a:spcPct val="0"/>
            </a:spcBef>
            <a:spcAft>
              <a:spcPct val="0"/>
            </a:spcAft>
            <a:defRPr kern="1200">
              <a:solidFill>
                <a:srgbClr val="000000"/>
              </a:solidFill>
              <a:latin typeface="Arial" charset="0"/>
            </a:defRPr>
          </a:lvl5pPr>
          <a:lvl6pPr marL="2286000" algn="l" defTabSz="914400" rtl="0" eaLnBrk="1" latinLnBrk="0" hangingPunct="1">
            <a:defRPr kern="1200">
              <a:solidFill>
                <a:srgbClr val="000000"/>
              </a:solidFill>
              <a:latin typeface="Arial" charset="0"/>
            </a:defRPr>
          </a:lvl6pPr>
          <a:lvl7pPr marL="2743200" algn="l" defTabSz="914400" rtl="0" eaLnBrk="1" latinLnBrk="0" hangingPunct="1">
            <a:defRPr kern="1200">
              <a:solidFill>
                <a:srgbClr val="000000"/>
              </a:solidFill>
              <a:latin typeface="Arial" charset="0"/>
            </a:defRPr>
          </a:lvl7pPr>
          <a:lvl8pPr marL="3200400" algn="l" defTabSz="914400" rtl="0" eaLnBrk="1" latinLnBrk="0" hangingPunct="1">
            <a:defRPr kern="1200">
              <a:solidFill>
                <a:srgbClr val="000000"/>
              </a:solidFill>
              <a:latin typeface="Arial" charset="0"/>
            </a:defRPr>
          </a:lvl8pPr>
          <a:lvl9pPr marL="3657600" algn="l" defTabSz="914400" rtl="0" eaLnBrk="1" latinLnBrk="0" hangingPunct="1">
            <a:defRPr kern="1200">
              <a:solidFill>
                <a:srgbClr val="000000"/>
              </a:solidFill>
              <a:latin typeface="Arial" charset="0"/>
            </a:defRPr>
          </a:lvl9pPr>
        </a:lstStyle>
        <a:p xmlns:a="http://schemas.openxmlformats.org/drawingml/2006/main">
          <a:pPr algn="r">
            <a:defRPr/>
          </a:pPr>
          <a:r>
            <a:rPr lang="ru-RU" sz="1000" dirty="0" smtClean="0">
              <a:latin typeface="Calibri" pitchFamily="34" charset="0"/>
              <a:cs typeface="Times New Roman" pitchFamily="18" charset="0"/>
            </a:rPr>
            <a:t>Август </a:t>
          </a:r>
        </a:p>
        <a:p xmlns:a="http://schemas.openxmlformats.org/drawingml/2006/main">
          <a:pPr algn="r">
            <a:defRPr/>
          </a:pPr>
          <a:r>
            <a:rPr lang="ru-RU" sz="1000" dirty="0" smtClean="0">
              <a:latin typeface="Calibri" pitchFamily="34" charset="0"/>
              <a:cs typeface="Times New Roman" pitchFamily="18" charset="0"/>
            </a:rPr>
            <a:t>2013 года</a:t>
          </a:r>
          <a:endParaRPr lang="ru-RU" sz="1000" dirty="0">
            <a:latin typeface="Calibri" pitchFamily="34" charset="0"/>
            <a:cs typeface="Times New Roman" pitchFamily="18" charset="0"/>
          </a:endParaRP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3.30667E-7</cdr:x>
      <cdr:y>1.11132E-6</cdr:y>
    </cdr:from>
    <cdr:to>
      <cdr:x>0.2038</cdr:x>
      <cdr:y>0.11973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1" y="2"/>
          <a:ext cx="616318" cy="2154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  <cdr:relSizeAnchor xmlns:cdr="http://schemas.openxmlformats.org/drawingml/2006/chartDrawing">
    <cdr:from>
      <cdr:x>0.7381</cdr:x>
      <cdr:y>0.77767</cdr:y>
    </cdr:from>
    <cdr:to>
      <cdr:x>1</cdr:x>
      <cdr:y>0.99993</cdr:y>
    </cdr:to>
    <cdr:sp macro="" textlink="">
      <cdr:nvSpPr>
        <cdr:cNvPr id="3" name="Прямоугольник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32153" y="1399981"/>
          <a:ext cx="792035" cy="40011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>
          <a:spAutoFit/>
        </a:bodyPr>
        <a:lstStyle xmlns:a="http://schemas.openxmlformats.org/drawingml/2006/main">
          <a:lvl1pPr marL="0" indent="0">
            <a:defRPr sz="1100">
              <a:latin typeface="Arial"/>
            </a:defRPr>
          </a:lvl1pPr>
          <a:lvl2pPr marL="457200" indent="0">
            <a:defRPr sz="1100">
              <a:latin typeface="Arial"/>
            </a:defRPr>
          </a:lvl2pPr>
          <a:lvl3pPr marL="914400" indent="0">
            <a:defRPr sz="1100">
              <a:latin typeface="Arial"/>
            </a:defRPr>
          </a:lvl3pPr>
          <a:lvl4pPr marL="1371600" indent="0">
            <a:defRPr sz="1100">
              <a:latin typeface="Arial"/>
            </a:defRPr>
          </a:lvl4pPr>
          <a:lvl5pPr marL="1828800" indent="0">
            <a:defRPr sz="1100">
              <a:latin typeface="Arial"/>
            </a:defRPr>
          </a:lvl5pPr>
          <a:lvl6pPr marL="2286000" indent="0">
            <a:defRPr sz="1100">
              <a:latin typeface="Arial"/>
            </a:defRPr>
          </a:lvl6pPr>
          <a:lvl7pPr marL="2743200" indent="0">
            <a:defRPr sz="1100">
              <a:latin typeface="Arial"/>
            </a:defRPr>
          </a:lvl7pPr>
          <a:lvl8pPr marL="3200400" indent="0">
            <a:defRPr sz="1100">
              <a:latin typeface="Arial"/>
            </a:defRPr>
          </a:lvl8pPr>
          <a:lvl9pPr marL="3657600" indent="0">
            <a:defRPr sz="1100">
              <a:latin typeface="Arial"/>
            </a:defRPr>
          </a:lvl9pPr>
        </a:lstStyle>
        <a:p xmlns:a="http://schemas.openxmlformats.org/drawingml/2006/main">
          <a:pPr algn="r">
            <a:defRPr/>
          </a:pPr>
          <a:r>
            <a:rPr lang="ru-RU" sz="1000" dirty="0" smtClean="0">
              <a:latin typeface="Calibri" pitchFamily="34" charset="0"/>
              <a:cs typeface="Times New Roman" pitchFamily="18" charset="0"/>
            </a:rPr>
            <a:t>Сентябрь 2013 года</a:t>
          </a:r>
          <a:endParaRPr lang="ru-RU" sz="1000" dirty="0">
            <a:latin typeface="Calibri" pitchFamily="34" charset="0"/>
            <a:cs typeface="Times New Roman" pitchFamily="18" charset="0"/>
          </a:endParaRP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0.16731</cdr:x>
      <cdr:y>5.78639E-7</cdr:y>
    </cdr:from>
    <cdr:to>
      <cdr:x>0.37676</cdr:x>
      <cdr:y>0.125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518049" y="1"/>
          <a:ext cx="648545" cy="21602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0.73932</cdr:x>
      <cdr:y>0</cdr:y>
    </cdr:from>
    <cdr:to>
      <cdr:x>0.93646</cdr:x>
      <cdr:y>0.11538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448272" y="0"/>
          <a:ext cx="652834" cy="2160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0.73932</cdr:x>
      <cdr:y>0</cdr:y>
    </cdr:from>
    <cdr:to>
      <cdr:x>0.93646</cdr:x>
      <cdr:y>0.11538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448272" y="0"/>
          <a:ext cx="652834" cy="2160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0.73932</cdr:x>
      <cdr:y>0</cdr:y>
    </cdr:from>
    <cdr:to>
      <cdr:x>0.93502</cdr:x>
      <cdr:y>0.11454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448272" y="0"/>
          <a:ext cx="648072" cy="21444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Бюллетень Недвижимости, ООО</Company>
  <LinksUpToDate>false</LinksUpToDate>
  <CharactersWithSpaces>6015</CharactersWithSpaces>
  <SharedDoc>false</SharedDoc>
  <HLinks>
    <vt:vector size="6" baseType="variant">
      <vt:variant>
        <vt:i4>3801099</vt:i4>
      </vt:variant>
      <vt:variant>
        <vt:i4>0</vt:i4>
      </vt:variant>
      <vt:variant>
        <vt:i4>0</vt:i4>
      </vt:variant>
      <vt:variant>
        <vt:i4>5</vt:i4>
      </vt:variant>
      <vt:variant>
        <vt:lpwstr>mailto:analitika@bn.ru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mbent</cp:lastModifiedBy>
  <cp:revision>2</cp:revision>
  <dcterms:created xsi:type="dcterms:W3CDTF">2013-09-30T07:23:00Z</dcterms:created>
  <dcterms:modified xsi:type="dcterms:W3CDTF">2013-09-30T07:23:00Z</dcterms:modified>
</cp:coreProperties>
</file>